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57" w:rsidRDefault="003D2F3B" w:rsidP="00E16308">
      <w:pPr>
        <w:pStyle w:val="Title"/>
      </w:pPr>
      <w:r w:rsidRPr="003D2F3B">
        <w:t xml:space="preserve">The Presentation and Management </w:t>
      </w:r>
    </w:p>
    <w:p w:rsidR="00E16308" w:rsidRPr="00E16308" w:rsidRDefault="003D2F3B" w:rsidP="00E16308">
      <w:pPr>
        <w:pStyle w:val="Title"/>
        <w:rPr>
          <w:sz w:val="24"/>
        </w:rPr>
      </w:pPr>
      <w:r w:rsidRPr="003D2F3B">
        <w:t>of Chronic Pain</w:t>
      </w:r>
    </w:p>
    <w:p w:rsidR="00351E07" w:rsidRDefault="00351E07" w:rsidP="00E16308">
      <w:pPr>
        <w:pStyle w:val="Heading1"/>
        <w:jc w:val="center"/>
        <w:rPr>
          <w:sz w:val="27"/>
          <w:szCs w:val="27"/>
          <w:highlight w:val="yellow"/>
        </w:rPr>
      </w:pPr>
    </w:p>
    <w:p w:rsidR="00E16308" w:rsidRPr="00897402" w:rsidRDefault="00E16308" w:rsidP="00E16308">
      <w:pPr>
        <w:pStyle w:val="Heading1"/>
        <w:jc w:val="center"/>
        <w:rPr>
          <w:szCs w:val="32"/>
        </w:rPr>
      </w:pPr>
      <w:r w:rsidRPr="00897402">
        <w:rPr>
          <w:szCs w:val="32"/>
        </w:rPr>
        <w:t xml:space="preserve">A One Hour Live Webinar on </w:t>
      </w:r>
      <w:r w:rsidR="003D2F3B">
        <w:rPr>
          <w:szCs w:val="32"/>
        </w:rPr>
        <w:t>December 4</w:t>
      </w:r>
      <w:r w:rsidRPr="00897402">
        <w:rPr>
          <w:szCs w:val="32"/>
        </w:rPr>
        <w:t>, 2018</w:t>
      </w:r>
    </w:p>
    <w:p w:rsidR="00662805" w:rsidRPr="00897402" w:rsidRDefault="00F40D59" w:rsidP="00662805">
      <w:pPr>
        <w:pStyle w:val="Heading1"/>
        <w:jc w:val="center"/>
        <w:rPr>
          <w:szCs w:val="32"/>
        </w:rPr>
      </w:pPr>
      <w:r>
        <w:rPr>
          <w:szCs w:val="32"/>
        </w:rPr>
        <w:t>Noon</w:t>
      </w:r>
      <w:r w:rsidR="003D2F3B">
        <w:rPr>
          <w:szCs w:val="32"/>
        </w:rPr>
        <w:t xml:space="preserve"> – 1:00 p.m. ET / 1:00 p.m. - 2:0</w:t>
      </w:r>
      <w:r w:rsidR="00662805" w:rsidRPr="00897402">
        <w:rPr>
          <w:szCs w:val="32"/>
        </w:rPr>
        <w:t xml:space="preserve">0 p.m. CT </w:t>
      </w:r>
    </w:p>
    <w:p w:rsidR="003E63DC" w:rsidRDefault="003E63DC" w:rsidP="00E16308">
      <w:pPr>
        <w:pStyle w:val="Heading2"/>
        <w:jc w:val="center"/>
      </w:pPr>
    </w:p>
    <w:p w:rsidR="00E16308" w:rsidRPr="00E16308" w:rsidRDefault="00E16308" w:rsidP="00E16308">
      <w:pPr>
        <w:pStyle w:val="Heading2"/>
        <w:jc w:val="center"/>
      </w:pPr>
      <w:r w:rsidRPr="00E16308">
        <w:t>Continuing Education Information</w:t>
      </w:r>
    </w:p>
    <w:p w:rsidR="00E16308" w:rsidRDefault="00E16308" w:rsidP="00E16308">
      <w:pPr>
        <w:pStyle w:val="Heading2"/>
      </w:pPr>
    </w:p>
    <w:p w:rsidR="003E63DC" w:rsidRPr="00434079" w:rsidRDefault="00434079" w:rsidP="00434079">
      <w:pPr>
        <w:pStyle w:val="Heading2"/>
        <w:rPr>
          <w:rFonts w:ascii="Times New Roman" w:hAnsi="Times New Roman" w:cs="Times New Roman"/>
        </w:rPr>
      </w:pPr>
      <w:r w:rsidRPr="00152A74">
        <w:t xml:space="preserve">Presented by </w:t>
      </w:r>
      <w:r w:rsidR="00662805">
        <w:t>Corey Waller, MD, MS</w:t>
      </w:r>
      <w:r w:rsidR="003E63DC" w:rsidRPr="0046312D">
        <w:t xml:space="preserve"> </w:t>
      </w:r>
    </w:p>
    <w:p w:rsidR="003928C6" w:rsidRDefault="003928C6" w:rsidP="003928C6">
      <w:pPr>
        <w:pStyle w:val="Heading2"/>
      </w:pPr>
    </w:p>
    <w:p w:rsidR="00E16308" w:rsidRDefault="00E16308" w:rsidP="00E16308">
      <w:pPr>
        <w:pStyle w:val="Heading2"/>
        <w:spacing w:after="120"/>
      </w:pPr>
      <w:r>
        <w:t xml:space="preserve">Who Should Attend </w:t>
      </w:r>
      <w:r w:rsidRPr="0046312D">
        <w:t xml:space="preserve"> </w:t>
      </w:r>
    </w:p>
    <w:p w:rsidR="00E16308" w:rsidRPr="00484028" w:rsidRDefault="00662805" w:rsidP="00E16308">
      <w:r w:rsidRPr="00706730">
        <w:rPr>
          <w:bCs/>
          <w:lang w:val="en"/>
        </w:rPr>
        <w:t xml:space="preserve">This educational activity is designed for physicians, nurses, </w:t>
      </w:r>
      <w:r>
        <w:rPr>
          <w:bCs/>
          <w:lang w:val="en"/>
        </w:rPr>
        <w:t xml:space="preserve">social workers, </w:t>
      </w:r>
      <w:r w:rsidRPr="00706730">
        <w:rPr>
          <w:bCs/>
          <w:lang w:val="en"/>
        </w:rPr>
        <w:t>clinical and management staff. Any allied health professional with an interest in improving care related to the topic area is welcome to attend</w:t>
      </w:r>
      <w:r>
        <w:rPr>
          <w:lang w:val="en"/>
        </w:rPr>
        <w:t>.</w:t>
      </w:r>
    </w:p>
    <w:p w:rsidR="00E16308" w:rsidRPr="0046312D" w:rsidRDefault="00E16308" w:rsidP="00E16308">
      <w:pPr>
        <w:rPr>
          <w:color w:val="auto"/>
          <w:lang w:val="en"/>
        </w:rPr>
      </w:pPr>
    </w:p>
    <w:p w:rsidR="00E16308" w:rsidRPr="0046312D" w:rsidRDefault="00E16308" w:rsidP="00E16308">
      <w:pPr>
        <w:pStyle w:val="Heading2"/>
        <w:spacing w:after="120"/>
      </w:pPr>
      <w:r>
        <w:t>Outcome</w:t>
      </w:r>
      <w:r w:rsidRPr="0046312D">
        <w:t xml:space="preserve"> </w:t>
      </w:r>
    </w:p>
    <w:p w:rsidR="00E16308" w:rsidRPr="002A27E5" w:rsidRDefault="001C6AE6" w:rsidP="003D2F3B">
      <w:pPr>
        <w:rPr>
          <w:bCs/>
          <w:color w:val="auto"/>
        </w:rPr>
      </w:pPr>
      <w:r w:rsidRPr="001C6AE6">
        <w:rPr>
          <w:bCs/>
          <w:color w:val="auto"/>
        </w:rPr>
        <w:t xml:space="preserve">Participants will be able to </w:t>
      </w:r>
      <w:r>
        <w:rPr>
          <w:bCs/>
          <w:color w:val="auto"/>
        </w:rPr>
        <w:t xml:space="preserve">examine </w:t>
      </w:r>
      <w:r w:rsidR="003D2F3B">
        <w:rPr>
          <w:bCs/>
          <w:color w:val="auto"/>
        </w:rPr>
        <w:t>t</w:t>
      </w:r>
      <w:r w:rsidR="003D2F3B" w:rsidRPr="003D2F3B">
        <w:rPr>
          <w:bCs/>
          <w:color w:val="auto"/>
        </w:rPr>
        <w:t>he etiology of pain in individuals, the different types of pain, screeni</w:t>
      </w:r>
      <w:r w:rsidR="003D2F3B">
        <w:rPr>
          <w:bCs/>
          <w:color w:val="auto"/>
        </w:rPr>
        <w:t xml:space="preserve">ng for pain, and </w:t>
      </w:r>
      <w:r w:rsidR="003D2F3B" w:rsidRPr="003D2F3B">
        <w:rPr>
          <w:bCs/>
          <w:color w:val="auto"/>
        </w:rPr>
        <w:t>interventions used to treat pain. Emphasis will also be placed upon the use of opioids to treat pain and alternatives to</w:t>
      </w:r>
      <w:r w:rsidR="003D2F3B">
        <w:rPr>
          <w:bCs/>
          <w:color w:val="auto"/>
        </w:rPr>
        <w:t xml:space="preserve"> </w:t>
      </w:r>
      <w:r w:rsidR="003D2F3B" w:rsidRPr="003D2F3B">
        <w:rPr>
          <w:bCs/>
          <w:color w:val="auto"/>
        </w:rPr>
        <w:t>opioids</w:t>
      </w:r>
      <w:r w:rsidR="003D2F3B">
        <w:rPr>
          <w:bCs/>
          <w:color w:val="auto"/>
        </w:rPr>
        <w:t xml:space="preserve">. </w:t>
      </w:r>
      <w:r w:rsidR="00E16308" w:rsidRPr="00354C45">
        <w:rPr>
          <w:color w:val="auto"/>
        </w:rPr>
        <w:t xml:space="preserve">This will be measured by participant self-report on a 60 </w:t>
      </w:r>
      <w:r w:rsidR="00FC4E42">
        <w:rPr>
          <w:color w:val="auto"/>
        </w:rPr>
        <w:t xml:space="preserve">day </w:t>
      </w:r>
      <w:r w:rsidR="00E16308" w:rsidRPr="00354C45">
        <w:rPr>
          <w:color w:val="auto"/>
        </w:rPr>
        <w:t xml:space="preserve">follow-up survey.  </w:t>
      </w:r>
    </w:p>
    <w:p w:rsidR="00354C45" w:rsidRPr="00354C45" w:rsidRDefault="00354C45" w:rsidP="00E16308">
      <w:pPr>
        <w:rPr>
          <w:color w:val="auto"/>
        </w:rPr>
      </w:pPr>
    </w:p>
    <w:p w:rsidR="00E16308" w:rsidRDefault="00E16308" w:rsidP="00E16308">
      <w:pPr>
        <w:pStyle w:val="NormalWeb"/>
        <w:spacing w:before="0" w:beforeAutospacing="0" w:after="120" w:afterAutospacing="0"/>
        <w:rPr>
          <w:rStyle w:val="Heading2Char"/>
        </w:rPr>
      </w:pPr>
      <w:r w:rsidRPr="0046312D">
        <w:rPr>
          <w:rStyle w:val="Heading2Char"/>
        </w:rPr>
        <w:t>Objectives</w:t>
      </w:r>
      <w:r>
        <w:rPr>
          <w:rStyle w:val="Heading2Char"/>
        </w:rPr>
        <w:t xml:space="preserve"> </w:t>
      </w:r>
    </w:p>
    <w:p w:rsidR="00E16308" w:rsidRPr="0046312D" w:rsidRDefault="00E16308" w:rsidP="00E16308">
      <w:pPr>
        <w:pStyle w:val="NormalWeb"/>
        <w:spacing w:before="0" w:beforeAutospacing="0" w:after="120" w:afterAutospacing="0"/>
        <w:rPr>
          <w:b/>
        </w:rPr>
      </w:pPr>
      <w:r>
        <w:t>F</w:t>
      </w:r>
      <w:r w:rsidRPr="0046312D">
        <w:t>ollowing this webinar, participants will be better able to:</w:t>
      </w:r>
      <w:r w:rsidRPr="0046312D">
        <w:rPr>
          <w:b/>
        </w:rPr>
        <w:t xml:space="preserve"> </w:t>
      </w:r>
    </w:p>
    <w:p w:rsidR="00B900AF" w:rsidRDefault="00B900AF" w:rsidP="00B900AF">
      <w:pPr>
        <w:pStyle w:val="NumberedList"/>
        <w:numPr>
          <w:ilvl w:val="0"/>
          <w:numId w:val="9"/>
        </w:numPr>
      </w:pPr>
      <w:r>
        <w:t>Describe the biology of chronic pain</w:t>
      </w:r>
      <w:r w:rsidR="00AF6857">
        <w:t>.</w:t>
      </w:r>
    </w:p>
    <w:p w:rsidR="00B900AF" w:rsidRDefault="00B900AF" w:rsidP="00B900AF">
      <w:pPr>
        <w:pStyle w:val="NumberedList"/>
        <w:numPr>
          <w:ilvl w:val="0"/>
          <w:numId w:val="9"/>
        </w:numPr>
      </w:pPr>
      <w:r>
        <w:t>List the non-pharmacological treatments available for the treatment of chronic pain</w:t>
      </w:r>
      <w:r w:rsidR="00AF6857">
        <w:t>.</w:t>
      </w:r>
    </w:p>
    <w:p w:rsidR="00B900AF" w:rsidRDefault="00B900AF" w:rsidP="00B900AF">
      <w:pPr>
        <w:pStyle w:val="NumberedList"/>
        <w:numPr>
          <w:ilvl w:val="0"/>
          <w:numId w:val="9"/>
        </w:numPr>
      </w:pPr>
      <w:r>
        <w:t>Explain the role of opioids in the management of chronic pain</w:t>
      </w:r>
      <w:r w:rsidR="00AF6857">
        <w:t>.</w:t>
      </w:r>
    </w:p>
    <w:p w:rsidR="00E16308" w:rsidRDefault="00E16308" w:rsidP="003D2F3B">
      <w:pPr>
        <w:pStyle w:val="NumberedList"/>
        <w:numPr>
          <w:ilvl w:val="0"/>
          <w:numId w:val="0"/>
        </w:numPr>
        <w:ind w:left="720"/>
      </w:pPr>
    </w:p>
    <w:p w:rsidR="00FC4E42" w:rsidRDefault="00AF6857" w:rsidP="00E16308">
      <w:pPr>
        <w:pStyle w:val="Heading1"/>
      </w:pPr>
      <w:r>
        <w:rPr>
          <w:noProof/>
        </w:rPr>
        <w:drawing>
          <wp:anchor distT="0" distB="0" distL="114300" distR="114300" simplePos="0" relativeHeight="251659264" behindDoc="1" locked="0" layoutInCell="1" allowOverlap="1" wp14:anchorId="31E6B487" wp14:editId="7AA866AC">
            <wp:simplePos x="0" y="0"/>
            <wp:positionH relativeFrom="column">
              <wp:posOffset>4407535</wp:posOffset>
            </wp:positionH>
            <wp:positionV relativeFrom="paragraph">
              <wp:posOffset>13335</wp:posOffset>
            </wp:positionV>
            <wp:extent cx="1546860" cy="666750"/>
            <wp:effectExtent l="0" t="0" r="0" b="0"/>
            <wp:wrapTight wrapText="bothSides">
              <wp:wrapPolygon edited="0">
                <wp:start x="0" y="0"/>
                <wp:lineTo x="0" y="20983"/>
                <wp:lineTo x="21281" y="20983"/>
                <wp:lineTo x="212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666750"/>
                    </a:xfrm>
                    <a:prstGeom prst="rect">
                      <a:avLst/>
                    </a:prstGeom>
                    <a:noFill/>
                  </pic:spPr>
                </pic:pic>
              </a:graphicData>
            </a:graphic>
            <wp14:sizeRelH relativeFrom="page">
              <wp14:pctWidth>0</wp14:pctWidth>
            </wp14:sizeRelH>
            <wp14:sizeRelV relativeFrom="page">
              <wp14:pctHeight>0</wp14:pctHeight>
            </wp14:sizeRelV>
          </wp:anchor>
        </w:drawing>
      </w:r>
    </w:p>
    <w:p w:rsidR="00AF6857" w:rsidRDefault="00AF6857" w:rsidP="00E16308">
      <w:pPr>
        <w:pStyle w:val="Heading1"/>
      </w:pPr>
    </w:p>
    <w:p w:rsidR="00E16308" w:rsidRPr="00A90BC4" w:rsidRDefault="00E16308" w:rsidP="00E16308">
      <w:pPr>
        <w:pStyle w:val="Heading1"/>
      </w:pPr>
      <w:r w:rsidRPr="00A90BC4">
        <w:t xml:space="preserve">Continuing Education </w:t>
      </w:r>
      <w:r>
        <w:t xml:space="preserve">Credits                                   </w:t>
      </w:r>
    </w:p>
    <w:p w:rsidR="00E16308" w:rsidRDefault="00E16308" w:rsidP="00E16308">
      <w:pPr>
        <w:rPr>
          <w:rFonts w:ascii="Arial" w:hAnsi="Arial" w:cs="Arial"/>
          <w:b/>
          <w:bCs/>
        </w:rPr>
      </w:pPr>
    </w:p>
    <w:p w:rsidR="00AF6857" w:rsidRPr="00354C45" w:rsidRDefault="00AF6857" w:rsidP="00AF6857">
      <w:pPr>
        <w:spacing w:after="120"/>
        <w:rPr>
          <w:rFonts w:ascii="Arial" w:hAnsi="Arial" w:cs="Arial"/>
        </w:rPr>
      </w:pPr>
      <w:r w:rsidRPr="00354C45">
        <w:rPr>
          <w:rStyle w:val="Heading3Char"/>
          <w:rFonts w:ascii="Arial" w:hAnsi="Arial" w:cs="Arial"/>
        </w:rPr>
        <w:t>Registered Nurses</w:t>
      </w:r>
      <w:r w:rsidRPr="00354C45">
        <w:rPr>
          <w:rFonts w:ascii="Arial" w:hAnsi="Arial" w:cs="Arial"/>
        </w:rPr>
        <w:t xml:space="preserve">  </w:t>
      </w:r>
    </w:p>
    <w:p w:rsidR="00AF6857" w:rsidRPr="00C6715F" w:rsidRDefault="00AF6857" w:rsidP="00AF6857">
      <w:r w:rsidRPr="00C6715F">
        <w:t>MetaStar, Inc. is an approved provider of continuing nursing education by the Wisconsin Nurses Association</w:t>
      </w:r>
      <w:r>
        <w:t xml:space="preserve">, </w:t>
      </w:r>
      <w:r w:rsidRPr="00C6715F">
        <w:t>an accredited approver by the American Nurses Credentialing Center’s Commission on Accreditation.</w:t>
      </w:r>
    </w:p>
    <w:p w:rsidR="003D2F3B" w:rsidRDefault="003D2F3B" w:rsidP="00E16308">
      <w:pPr>
        <w:rPr>
          <w:rFonts w:ascii="Arial" w:hAnsi="Arial" w:cs="Arial"/>
          <w:b/>
          <w:bCs/>
        </w:rPr>
      </w:pPr>
    </w:p>
    <w:p w:rsidR="004B383C" w:rsidRDefault="004B383C" w:rsidP="00354C45">
      <w:pPr>
        <w:rPr>
          <w:b/>
          <w:bCs/>
        </w:rPr>
        <w:sectPr w:rsidR="004B383C" w:rsidSect="007F1CF0">
          <w:headerReference w:type="default" r:id="rId13"/>
          <w:footerReference w:type="default" r:id="rId14"/>
          <w:headerReference w:type="first" r:id="rId15"/>
          <w:footerReference w:type="first" r:id="rId16"/>
          <w:pgSz w:w="12240" w:h="15840"/>
          <w:pgMar w:top="720" w:right="900" w:bottom="720" w:left="900" w:header="1152" w:footer="504" w:gutter="0"/>
          <w:cols w:space="720"/>
          <w:noEndnote/>
          <w:titlePg/>
          <w:docGrid w:linePitch="326"/>
        </w:sectPr>
      </w:pPr>
    </w:p>
    <w:p w:rsidR="00AF6857" w:rsidRPr="00354C45" w:rsidRDefault="00AF6857" w:rsidP="00AF6857">
      <w:pPr>
        <w:spacing w:after="120"/>
        <w:rPr>
          <w:rFonts w:ascii="Arial" w:hAnsi="Arial" w:cs="Arial"/>
        </w:rPr>
      </w:pPr>
      <w:r w:rsidRPr="00354C45">
        <w:rPr>
          <w:rStyle w:val="Heading3Char"/>
          <w:rFonts w:ascii="Arial" w:hAnsi="Arial" w:cs="Arial"/>
        </w:rPr>
        <w:lastRenderedPageBreak/>
        <w:t>Registered Nurses</w:t>
      </w:r>
      <w:r>
        <w:rPr>
          <w:rStyle w:val="Heading3Char"/>
          <w:rFonts w:ascii="Arial" w:hAnsi="Arial" w:cs="Arial"/>
        </w:rPr>
        <w:t xml:space="preserve"> </w:t>
      </w:r>
      <w:r w:rsidRPr="00AF6857">
        <w:rPr>
          <w:rStyle w:val="Heading3Char"/>
          <w:rFonts w:ascii="Arial" w:hAnsi="Arial" w:cs="Arial"/>
          <w:b w:val="0"/>
        </w:rPr>
        <w:t>(</w:t>
      </w:r>
      <w:r w:rsidRPr="00AF6857">
        <w:rPr>
          <w:rStyle w:val="Heading3Char"/>
          <w:rFonts w:cs="Times New Roman"/>
          <w:b w:val="0"/>
        </w:rPr>
        <w:t>continued</w:t>
      </w:r>
      <w:r>
        <w:rPr>
          <w:rStyle w:val="Heading3Char"/>
          <w:rFonts w:cs="Times New Roman"/>
          <w:b w:val="0"/>
        </w:rPr>
        <w:t>)</w:t>
      </w:r>
      <w:r w:rsidRPr="00AF6857">
        <w:rPr>
          <w:b/>
        </w:rPr>
        <w:t xml:space="preserve"> </w:t>
      </w:r>
      <w:r w:rsidRPr="00354C45">
        <w:rPr>
          <w:rFonts w:ascii="Arial" w:hAnsi="Arial" w:cs="Arial"/>
        </w:rPr>
        <w:t xml:space="preserve"> </w:t>
      </w:r>
    </w:p>
    <w:p w:rsidR="00AF6857" w:rsidRPr="00897402" w:rsidRDefault="00AF6857" w:rsidP="00897402">
      <w:pPr>
        <w:rPr>
          <w:sz w:val="20"/>
          <w:szCs w:val="16"/>
        </w:rPr>
      </w:pPr>
    </w:p>
    <w:p w:rsidR="00897402" w:rsidRPr="00C6715F" w:rsidRDefault="00897402" w:rsidP="00897402">
      <w:r w:rsidRPr="00C6715F">
        <w:t xml:space="preserve">1.0 contact hour will be awarded for successful completion. </w:t>
      </w:r>
    </w:p>
    <w:p w:rsidR="00897402" w:rsidRPr="00897402" w:rsidRDefault="00897402" w:rsidP="00897402">
      <w:pPr>
        <w:rPr>
          <w:bCs/>
          <w:sz w:val="22"/>
        </w:rPr>
      </w:pPr>
    </w:p>
    <w:p w:rsidR="00897402" w:rsidRPr="00C6715F" w:rsidRDefault="00897402" w:rsidP="00897402">
      <w:pPr>
        <w:rPr>
          <w:bCs/>
        </w:rPr>
      </w:pPr>
      <w:r w:rsidRPr="00C6715F">
        <w:rPr>
          <w:bCs/>
        </w:rPr>
        <w:t>This program for 1.</w:t>
      </w:r>
      <w:r>
        <w:rPr>
          <w:bCs/>
        </w:rPr>
        <w:t xml:space="preserve">0 </w:t>
      </w:r>
      <w:r w:rsidRPr="00C6715F">
        <w:rPr>
          <w:bCs/>
        </w:rPr>
        <w:t xml:space="preserve">contact hour has been designed to meet the Minnesota Board of Nursing continuing education requirements. However, the nurse is responsible for determining whether these activities meet the requirements for acceptable continuing education. </w:t>
      </w:r>
    </w:p>
    <w:p w:rsidR="00897402" w:rsidRPr="00A874CC" w:rsidRDefault="00897402" w:rsidP="00897402">
      <w:pPr>
        <w:rPr>
          <w:iCs/>
          <w:sz w:val="16"/>
          <w:szCs w:val="16"/>
        </w:rPr>
      </w:pPr>
    </w:p>
    <w:p w:rsidR="00897402" w:rsidRPr="00AA6CBD" w:rsidRDefault="00897402" w:rsidP="00897402">
      <w:pPr>
        <w:rPr>
          <w:iCs/>
        </w:rPr>
      </w:pPr>
      <w:r w:rsidRPr="00C6715F">
        <w:rPr>
          <w:iCs/>
        </w:rPr>
        <w:t>MetaStar, Inc. is the provider of nursing contact hours</w:t>
      </w:r>
      <w:r>
        <w:rPr>
          <w:iCs/>
        </w:rPr>
        <w:t xml:space="preserve"> </w:t>
      </w:r>
      <w:r w:rsidRPr="00C6715F">
        <w:t xml:space="preserve">in a joint </w:t>
      </w:r>
      <w:r>
        <w:t>provider</w:t>
      </w:r>
      <w:r w:rsidRPr="00C6715F">
        <w:t xml:space="preserve"> agreement with the </w:t>
      </w:r>
      <w:r>
        <w:t>Lake Superior QIN</w:t>
      </w:r>
      <w:r w:rsidRPr="00C6715F">
        <w:t>.</w:t>
      </w:r>
      <w:r>
        <w:t xml:space="preserve"> MetaStar </w:t>
      </w:r>
      <w:r w:rsidRPr="00C6715F">
        <w:rPr>
          <w:iCs/>
        </w:rPr>
        <w:t>Provider Number: 0186-008.</w:t>
      </w:r>
    </w:p>
    <w:p w:rsidR="00897402" w:rsidRDefault="00897402" w:rsidP="00897402">
      <w:pPr>
        <w:rPr>
          <w:b/>
          <w:bCs/>
        </w:rPr>
      </w:pPr>
    </w:p>
    <w:p w:rsidR="00897402" w:rsidRPr="004C048C" w:rsidRDefault="00897402" w:rsidP="00897402">
      <w:pPr>
        <w:pStyle w:val="Default"/>
      </w:pPr>
      <w:r w:rsidRPr="00354C45">
        <w:rPr>
          <w:rFonts w:ascii="Arial" w:hAnsi="Arial" w:cs="Arial"/>
          <w:b/>
          <w:bCs/>
        </w:rPr>
        <w:t>Social Workers</w:t>
      </w:r>
      <w:r w:rsidRPr="00622E45">
        <w:t xml:space="preserve"> </w:t>
      </w:r>
      <w:r>
        <w:t>– Wisconsin and Minnesota</w:t>
      </w:r>
      <w:r w:rsidRPr="004C048C">
        <w:br/>
      </w:r>
      <w:r w:rsidR="004D2C41" w:rsidRPr="004D2C41">
        <w:t xml:space="preserve">This program is approved by the National Association of Social Workers </w:t>
      </w:r>
      <w:r w:rsidR="00043832" w:rsidRPr="00043832">
        <w:t>(#886397036-5343</w:t>
      </w:r>
      <w:r w:rsidR="004D2C41" w:rsidRPr="004D2C41">
        <w:t>) for 1.0 continuing education contact hours.</w:t>
      </w:r>
    </w:p>
    <w:p w:rsidR="00897402" w:rsidRDefault="00897402" w:rsidP="00897402">
      <w:pPr>
        <w:pStyle w:val="Default"/>
      </w:pPr>
    </w:p>
    <w:p w:rsidR="00897402" w:rsidRDefault="00897402" w:rsidP="00897402">
      <w:pPr>
        <w:pStyle w:val="Default"/>
      </w:pPr>
      <w:r w:rsidRPr="00354C45">
        <w:rPr>
          <w:rFonts w:ascii="Arial" w:hAnsi="Arial" w:cs="Arial"/>
          <w:b/>
        </w:rPr>
        <w:t>Social Workers</w:t>
      </w:r>
      <w:r>
        <w:t xml:space="preserve"> – Michigan</w:t>
      </w:r>
    </w:p>
    <w:p w:rsidR="00E760AC" w:rsidRPr="004423A1" w:rsidRDefault="00E760AC" w:rsidP="00E760AC">
      <w:pPr>
        <w:keepNext/>
        <w:keepLines/>
        <w:outlineLvl w:val="1"/>
        <w:rPr>
          <w:rFonts w:eastAsiaTheme="majorEastAsia"/>
          <w:bCs/>
          <w:szCs w:val="26"/>
        </w:rPr>
      </w:pPr>
      <w:r w:rsidRPr="004423A1">
        <w:rPr>
          <w:rFonts w:eastAsiaTheme="majorEastAsia"/>
          <w:bCs/>
          <w:szCs w:val="26"/>
        </w:rPr>
        <w:t>This course is approved by the Michigan Social Work Continuing Education Collaborative-Approval #</w:t>
      </w:r>
      <w:bookmarkStart w:id="0" w:name="_GoBack"/>
      <w:bookmarkEnd w:id="0"/>
      <w:r w:rsidRPr="004423A1">
        <w:rPr>
          <w:color w:val="000000"/>
        </w:rPr>
        <w:t xml:space="preserve"> </w:t>
      </w:r>
      <w:r w:rsidR="0097487B" w:rsidRPr="0097487B">
        <w:rPr>
          <w:bCs/>
          <w:iCs/>
          <w:color w:val="000000"/>
        </w:rPr>
        <w:t>110818-03</w:t>
      </w:r>
      <w:r w:rsidRPr="004423A1">
        <w:rPr>
          <w:rFonts w:eastAsiaTheme="majorEastAsia"/>
          <w:bCs/>
          <w:szCs w:val="26"/>
        </w:rPr>
        <w:t>. The Collaborative is the approving body for the Michigan Board of Social Work.</w:t>
      </w:r>
    </w:p>
    <w:p w:rsidR="00E760AC" w:rsidRPr="004423A1" w:rsidRDefault="00E760AC" w:rsidP="00E760AC">
      <w:pPr>
        <w:keepNext/>
        <w:keepLines/>
        <w:outlineLvl w:val="1"/>
        <w:rPr>
          <w:rFonts w:eastAsiaTheme="majorEastAsia"/>
          <w:bCs/>
          <w:szCs w:val="26"/>
        </w:rPr>
      </w:pPr>
    </w:p>
    <w:p w:rsidR="00E760AC" w:rsidRPr="004423A1" w:rsidRDefault="00E760AC" w:rsidP="00E760AC">
      <w:pPr>
        <w:keepNext/>
        <w:keepLines/>
        <w:outlineLvl w:val="1"/>
        <w:rPr>
          <w:rFonts w:eastAsiaTheme="majorEastAsia"/>
          <w:bCs/>
          <w:szCs w:val="26"/>
        </w:rPr>
      </w:pPr>
      <w:r w:rsidRPr="004423A1">
        <w:rPr>
          <w:rFonts w:eastAsiaTheme="majorEastAsia"/>
          <w:bCs/>
          <w:szCs w:val="26"/>
        </w:rPr>
        <w:t>1.0 continuing education hours will be awarded for successful completion</w:t>
      </w:r>
    </w:p>
    <w:p w:rsidR="00897402" w:rsidRDefault="00897402" w:rsidP="00897402">
      <w:pPr>
        <w:rPr>
          <w:iCs/>
        </w:rPr>
      </w:pPr>
    </w:p>
    <w:p w:rsidR="00897402" w:rsidRPr="00E53F2B" w:rsidRDefault="00897402" w:rsidP="00897402">
      <w:pPr>
        <w:pStyle w:val="Heading1"/>
      </w:pPr>
      <w:r w:rsidRPr="00E53F2B">
        <w:t>Continuing Education Disclosures</w:t>
      </w:r>
    </w:p>
    <w:p w:rsidR="00897402" w:rsidRPr="00E53F2B" w:rsidRDefault="00897402" w:rsidP="00897402"/>
    <w:p w:rsidR="00897402" w:rsidRPr="00E53F2B" w:rsidRDefault="00897402" w:rsidP="00897402">
      <w:r>
        <w:rPr>
          <w:rStyle w:val="Heading2Char"/>
        </w:rPr>
        <w:t>Notice of Requirements for S</w:t>
      </w:r>
      <w:r w:rsidRPr="0046312D">
        <w:rPr>
          <w:rStyle w:val="Heading2Char"/>
        </w:rPr>
        <w:t xml:space="preserve">uccessful </w:t>
      </w:r>
      <w:r>
        <w:rPr>
          <w:rStyle w:val="Heading2Char"/>
        </w:rPr>
        <w:t>C</w:t>
      </w:r>
      <w:r w:rsidRPr="0046312D">
        <w:rPr>
          <w:rStyle w:val="Heading2Char"/>
        </w:rPr>
        <w:t>ompletion</w:t>
      </w:r>
      <w:r>
        <w:t xml:space="preserve"> </w:t>
      </w:r>
      <w:r w:rsidRPr="00B97FB4">
        <w:t>–</w:t>
      </w:r>
      <w:r>
        <w:t xml:space="preserve"> </w:t>
      </w:r>
      <w:r w:rsidRPr="00E53F2B">
        <w:t xml:space="preserve">Participants must complete </w:t>
      </w:r>
      <w:r w:rsidRPr="00354C45">
        <w:t>an on-line evaluation with attendance attestation to obtain educational credit or a certificate of attendance. Full session attendance is required for educational credit.</w:t>
      </w:r>
      <w:r w:rsidRPr="00E53F2B">
        <w:t xml:space="preserve"> </w:t>
      </w:r>
    </w:p>
    <w:p w:rsidR="00897402" w:rsidRPr="00E53F2B" w:rsidRDefault="00897402" w:rsidP="00897402"/>
    <w:p w:rsidR="00897402" w:rsidRPr="00B97FB4" w:rsidRDefault="00897402" w:rsidP="00897402">
      <w:r w:rsidRPr="0046312D">
        <w:rPr>
          <w:rStyle w:val="Heading2Char"/>
        </w:rPr>
        <w:t xml:space="preserve">Disclosure of </w:t>
      </w:r>
      <w:r>
        <w:rPr>
          <w:rStyle w:val="Heading2Char"/>
        </w:rPr>
        <w:t>R</w:t>
      </w:r>
      <w:r w:rsidRPr="0046312D">
        <w:rPr>
          <w:rStyle w:val="Heading2Char"/>
        </w:rPr>
        <w:t xml:space="preserve">elevant </w:t>
      </w:r>
      <w:r>
        <w:rPr>
          <w:rStyle w:val="Heading2Char"/>
        </w:rPr>
        <w:t>F</w:t>
      </w:r>
      <w:r w:rsidRPr="0046312D">
        <w:rPr>
          <w:rStyle w:val="Heading2Char"/>
        </w:rPr>
        <w:t xml:space="preserve">inancial </w:t>
      </w:r>
      <w:r>
        <w:rPr>
          <w:rStyle w:val="Heading2Char"/>
        </w:rPr>
        <w:t>R</w:t>
      </w:r>
      <w:r w:rsidRPr="0046312D">
        <w:rPr>
          <w:rStyle w:val="Heading2Char"/>
        </w:rPr>
        <w:t>elationships/</w:t>
      </w:r>
      <w:r>
        <w:rPr>
          <w:rStyle w:val="Heading2Char"/>
        </w:rPr>
        <w:t>C</w:t>
      </w:r>
      <w:r w:rsidRPr="0046312D">
        <w:rPr>
          <w:rStyle w:val="Heading2Char"/>
        </w:rPr>
        <w:t xml:space="preserve">onflicts of </w:t>
      </w:r>
      <w:r>
        <w:rPr>
          <w:rStyle w:val="Heading2Char"/>
        </w:rPr>
        <w:t>I</w:t>
      </w:r>
      <w:r w:rsidRPr="0046312D">
        <w:rPr>
          <w:rStyle w:val="Heading2Char"/>
        </w:rPr>
        <w:t>nterest</w:t>
      </w:r>
      <w:r w:rsidRPr="00B97FB4">
        <w:t xml:space="preserve"> – </w:t>
      </w:r>
      <w:r w:rsidRPr="00354C45">
        <w:t>No speaker or planner has known financial relationships or other potential conflicts of interest to disclose.  P</w:t>
      </w:r>
      <w:r w:rsidRPr="00B97FB4">
        <w:t xml:space="preserve">articipants will be informed prior to the beginning of the educational event.  </w:t>
      </w:r>
    </w:p>
    <w:p w:rsidR="00897402" w:rsidRDefault="00897402" w:rsidP="00897402">
      <w:pPr>
        <w:rPr>
          <w:rStyle w:val="Heading2Char"/>
        </w:rPr>
      </w:pPr>
    </w:p>
    <w:p w:rsidR="00897402" w:rsidRDefault="00897402" w:rsidP="00897402">
      <w:r>
        <w:rPr>
          <w:rStyle w:val="Heading2Char"/>
        </w:rPr>
        <w:t>Commercial S</w:t>
      </w:r>
      <w:r w:rsidRPr="0046312D">
        <w:rPr>
          <w:rStyle w:val="Heading2Char"/>
        </w:rPr>
        <w:t>upport</w:t>
      </w:r>
      <w:r w:rsidRPr="00E53F2B">
        <w:t xml:space="preserve"> – </w:t>
      </w:r>
      <w:r w:rsidRPr="00354C45">
        <w:t>There is no commercial support for this activity.</w:t>
      </w:r>
      <w:r w:rsidRPr="00E53F2B">
        <w:t xml:space="preserve"> </w:t>
      </w:r>
    </w:p>
    <w:p w:rsidR="00897402" w:rsidRDefault="00897402" w:rsidP="00897402"/>
    <w:p w:rsidR="00897402" w:rsidRDefault="00897402" w:rsidP="00897402">
      <w:r w:rsidRPr="0046312D">
        <w:rPr>
          <w:rStyle w:val="Heading2Char"/>
        </w:rPr>
        <w:t>Regi</w:t>
      </w:r>
      <w:r>
        <w:rPr>
          <w:rStyle w:val="Heading2Char"/>
        </w:rPr>
        <w:t>stration Fees and Refund Policy</w:t>
      </w:r>
      <w:r w:rsidRPr="0046312D">
        <w:t xml:space="preserve"> </w:t>
      </w:r>
      <w:r>
        <w:t xml:space="preserve">– </w:t>
      </w:r>
      <w:r w:rsidRPr="00354C45">
        <w:t>There is no cost for this education session.</w:t>
      </w:r>
    </w:p>
    <w:p w:rsidR="0064136F" w:rsidRDefault="0064136F" w:rsidP="000354A8">
      <w:pPr>
        <w:spacing w:after="120"/>
        <w:rPr>
          <w:b/>
          <w:bCs/>
        </w:rPr>
      </w:pPr>
    </w:p>
    <w:sectPr w:rsidR="0064136F" w:rsidSect="007F1CF0">
      <w:headerReference w:type="default" r:id="rId17"/>
      <w:footerReference w:type="default" r:id="rId18"/>
      <w:pgSz w:w="12240" w:h="15840"/>
      <w:pgMar w:top="720" w:right="900" w:bottom="720" w:left="90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02" w:rsidRDefault="00AE2302" w:rsidP="00F91247">
      <w:r>
        <w:separator/>
      </w:r>
    </w:p>
  </w:endnote>
  <w:endnote w:type="continuationSeparator" w:id="0">
    <w:p w:rsidR="00AE2302" w:rsidRDefault="00AE2302"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Default="002B339B" w:rsidP="000F3A2B">
    <w:pPr>
      <w:pStyle w:val="BasicParagraph"/>
      <w:jc w:val="center"/>
      <w:rPr>
        <w:b/>
        <w:color w:val="00539B"/>
        <w:sz w:val="18"/>
      </w:rPr>
    </w:pPr>
    <w:r>
      <w:rPr>
        <w:b/>
        <w:noProof/>
        <w:color w:val="00539B"/>
        <w:sz w:val="18"/>
      </w:rPr>
      <w:drawing>
        <wp:anchor distT="0" distB="0" distL="114300" distR="114300" simplePos="0" relativeHeight="251646976" behindDoc="0" locked="0" layoutInCell="1" allowOverlap="1" wp14:anchorId="323AAE94" wp14:editId="323915EB">
          <wp:simplePos x="0" y="0"/>
          <wp:positionH relativeFrom="column">
            <wp:posOffset>-343799</wp:posOffset>
          </wp:positionH>
          <wp:positionV relativeFrom="paragraph">
            <wp:posOffset>130035</wp:posOffset>
          </wp:positionV>
          <wp:extent cx="7315200" cy="91440"/>
          <wp:effectExtent l="0" t="0" r="0" b="0"/>
          <wp:wrapNone/>
          <wp:docPr id="23" name="Picture 23"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9F" w:rsidRDefault="004C139F" w:rsidP="000F3A2B">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4C139F" w:rsidRPr="00804056" w:rsidRDefault="00E63C69"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@LakeSuperiorQIN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4D719E">
    <w:pPr>
      <w:pStyle w:val="BasicParagraph"/>
      <w:rPr>
        <w:b/>
        <w:color w:val="00539B"/>
        <w:sz w:val="18"/>
      </w:rPr>
    </w:pPr>
    <w:r>
      <w:rPr>
        <w:b/>
        <w:noProof/>
        <w:color w:val="00539B"/>
        <w:sz w:val="18"/>
      </w:rPr>
      <w:drawing>
        <wp:anchor distT="0" distB="0" distL="114300" distR="114300" simplePos="0" relativeHeight="251689984" behindDoc="0" locked="0" layoutInCell="1" allowOverlap="1" wp14:anchorId="1DE83192" wp14:editId="681B0D26">
          <wp:simplePos x="0" y="0"/>
          <wp:positionH relativeFrom="column">
            <wp:posOffset>-343799</wp:posOffset>
          </wp:positionH>
          <wp:positionV relativeFrom="paragraph">
            <wp:posOffset>130035</wp:posOffset>
          </wp:positionV>
          <wp:extent cx="7315200" cy="91440"/>
          <wp:effectExtent l="0" t="0" r="0" b="0"/>
          <wp:wrapNone/>
          <wp:docPr id="25" name="Picture 25"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19E" w:rsidRDefault="004D719E" w:rsidP="004D719E">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4D719E" w:rsidRPr="00804056" w:rsidRDefault="00E63C69"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@LakeSuperiorQIN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2" w:rsidRDefault="00BB3492" w:rsidP="000F3A2B">
    <w:pPr>
      <w:pStyle w:val="BasicParagraph"/>
      <w:jc w:val="center"/>
      <w:rPr>
        <w:b/>
        <w:color w:val="00539B"/>
        <w:sz w:val="18"/>
      </w:rPr>
    </w:pPr>
    <w:r>
      <w:rPr>
        <w:b/>
        <w:noProof/>
        <w:color w:val="00539B"/>
        <w:sz w:val="18"/>
      </w:rPr>
      <w:drawing>
        <wp:anchor distT="0" distB="0" distL="114300" distR="114300" simplePos="0" relativeHeight="251649024" behindDoc="0" locked="0" layoutInCell="1" allowOverlap="1" wp14:anchorId="1F5F4ACB" wp14:editId="362A44F2">
          <wp:simplePos x="0" y="0"/>
          <wp:positionH relativeFrom="column">
            <wp:posOffset>-344385</wp:posOffset>
          </wp:positionH>
          <wp:positionV relativeFrom="paragraph">
            <wp:posOffset>133730</wp:posOffset>
          </wp:positionV>
          <wp:extent cx="7315200" cy="91440"/>
          <wp:effectExtent l="0" t="0" r="0" b="0"/>
          <wp:wrapNone/>
          <wp:docPr id="12" name="Picture 1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92" w:rsidRDefault="00BB3492" w:rsidP="002B339B">
    <w:pPr>
      <w:pStyle w:val="BasicParagraph"/>
      <w:tabs>
        <w:tab w:val="left" w:pos="3104"/>
      </w:tabs>
      <w:rPr>
        <w:b/>
        <w:color w:val="00539B"/>
        <w:sz w:val="18"/>
      </w:rPr>
    </w:pPr>
    <w:r>
      <w:rPr>
        <w:b/>
        <w:color w:val="00539B"/>
        <w:sz w:val="18"/>
      </w:rPr>
      <w:tab/>
    </w: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0957B7" w:rsidRDefault="00E63C69"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@LakeSuperiorQIN</w:t>
    </w:r>
  </w:p>
  <w:p w:rsidR="00BB3492" w:rsidRPr="00C65AA0" w:rsidRDefault="00BB3492" w:rsidP="00C65AA0">
    <w:pPr>
      <w:pStyle w:val="Bulletssecondlevel"/>
      <w:ind w:left="0"/>
      <w:jc w:val="center"/>
      <w:rPr>
        <w:sz w:val="15"/>
        <w:szCs w:val="15"/>
      </w:rPr>
    </w:pPr>
    <w:r w:rsidRPr="00C65AA0">
      <w:rPr>
        <w:sz w:val="15"/>
        <w:szCs w:val="15"/>
      </w:rPr>
      <w:t xml:space="preserve">This material was prepared by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E63C69" w:rsidRPr="00E63C69">
      <w:rPr>
        <w:sz w:val="15"/>
        <w:szCs w:val="15"/>
      </w:rPr>
      <w:t>11SOW-MI/MN/WI-G1-18-103 112818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02" w:rsidRDefault="00AE2302" w:rsidP="00F91247">
      <w:r>
        <w:separator/>
      </w:r>
    </w:p>
  </w:footnote>
  <w:footnote w:type="continuationSeparator" w:id="0">
    <w:p w:rsidR="00AE2302" w:rsidRDefault="00AE2302"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Pr="00153DD8" w:rsidRDefault="00E16308">
    <w:pPr>
      <w:pStyle w:val="Header"/>
      <w:rPr>
        <w:vertAlign w:val="subscript"/>
      </w:rPr>
    </w:pPr>
    <w:r>
      <w:rPr>
        <w:noProof/>
        <w:color w:val="00539B"/>
        <w:sz w:val="40"/>
      </w:rPr>
      <mc:AlternateContent>
        <mc:Choice Requires="wps">
          <w:drawing>
            <wp:anchor distT="0" distB="0" distL="114300" distR="114300" simplePos="0" relativeHeight="251685888" behindDoc="0" locked="0" layoutInCell="1" allowOverlap="1" wp14:anchorId="1CAE11BE">
              <wp:simplePos x="0" y="0"/>
              <wp:positionH relativeFrom="column">
                <wp:posOffset>-335915</wp:posOffset>
              </wp:positionH>
              <wp:positionV relativeFrom="paragraph">
                <wp:posOffset>-464820</wp:posOffset>
              </wp:positionV>
              <wp:extent cx="7303770" cy="466725"/>
              <wp:effectExtent l="0" t="1905"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F71EB" id="Rectangle 1" o:spid="_x0000_s1026" style="position:absolute;margin-left:-26.45pt;margin-top:-36.6pt;width:575.1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" fillcolor="#00539b"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7F1CF0">
    <w:pPr>
      <w:pStyle w:val="Header"/>
      <w:spacing w:after="840"/>
    </w:pPr>
    <w:r>
      <w:rPr>
        <w:noProof/>
        <w:color w:val="00539B"/>
        <w:sz w:val="40"/>
      </w:rPr>
      <w:drawing>
        <wp:anchor distT="0" distB="0" distL="114300" distR="114300" simplePos="0" relativeHeight="251669504" behindDoc="0" locked="0" layoutInCell="1" allowOverlap="1" wp14:anchorId="73A1D479" wp14:editId="074DF2A2">
          <wp:simplePos x="0" y="0"/>
          <wp:positionH relativeFrom="column">
            <wp:posOffset>-340995</wp:posOffset>
          </wp:positionH>
          <wp:positionV relativeFrom="paragraph">
            <wp:posOffset>-470408</wp:posOffset>
          </wp:positionV>
          <wp:extent cx="7315200" cy="1033272"/>
          <wp:effectExtent l="0" t="0" r="0" b="0"/>
          <wp:wrapNone/>
          <wp:docPr id="24" name="Picture 24"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2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62" w:rsidRPr="00153DD8" w:rsidRDefault="00E16308">
    <w:pPr>
      <w:pStyle w:val="Header"/>
      <w:rPr>
        <w:vertAlign w:val="subscript"/>
      </w:rPr>
    </w:pPr>
    <w:r>
      <w:rPr>
        <w:noProof/>
        <w:vertAlign w:val="subscript"/>
      </w:rPr>
      <mc:AlternateContent>
        <mc:Choice Requires="wps">
          <w:drawing>
            <wp:anchor distT="0" distB="0" distL="114300" distR="114300" simplePos="0" relativeHeight="251686912" behindDoc="0" locked="0" layoutInCell="1" allowOverlap="1" wp14:anchorId="1CAE11BE">
              <wp:simplePos x="0" y="0"/>
              <wp:positionH relativeFrom="column">
                <wp:posOffset>-341630</wp:posOffset>
              </wp:positionH>
              <wp:positionV relativeFrom="paragraph">
                <wp:posOffset>-466090</wp:posOffset>
              </wp:positionV>
              <wp:extent cx="7303770" cy="466725"/>
              <wp:effectExtent l="127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2DE72" id="Rectangle 2" o:spid="_x0000_s1026" style="position:absolute;margin-left:-26.9pt;margin-top:-36.7pt;width:575.1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" fillcolor="#00539b"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num>
  <w:num w:numId="5">
    <w:abstractNumId w:val="3"/>
  </w:num>
  <w:num w:numId="6">
    <w:abstractNumId w:val="1"/>
  </w:num>
  <w:num w:numId="7">
    <w:abstractNumId w:val="3"/>
  </w:num>
  <w:num w:numId="8">
    <w:abstractNumId w:val="0"/>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08"/>
    <w:rsid w:val="0000079D"/>
    <w:rsid w:val="00015CA1"/>
    <w:rsid w:val="000354A8"/>
    <w:rsid w:val="00036E5B"/>
    <w:rsid w:val="00043832"/>
    <w:rsid w:val="000441AB"/>
    <w:rsid w:val="0005103E"/>
    <w:rsid w:val="00054F05"/>
    <w:rsid w:val="00074519"/>
    <w:rsid w:val="00086E4D"/>
    <w:rsid w:val="000957B7"/>
    <w:rsid w:val="000A7B6C"/>
    <w:rsid w:val="000A7F65"/>
    <w:rsid w:val="000B6FDE"/>
    <w:rsid w:val="000C6E62"/>
    <w:rsid w:val="000F3A2B"/>
    <w:rsid w:val="00116EEC"/>
    <w:rsid w:val="00136D66"/>
    <w:rsid w:val="00141DC8"/>
    <w:rsid w:val="00152A74"/>
    <w:rsid w:val="00153DD8"/>
    <w:rsid w:val="001727FC"/>
    <w:rsid w:val="001731D0"/>
    <w:rsid w:val="00182B5E"/>
    <w:rsid w:val="001A7F83"/>
    <w:rsid w:val="001B4621"/>
    <w:rsid w:val="001B6C1A"/>
    <w:rsid w:val="001B6F66"/>
    <w:rsid w:val="001C22FC"/>
    <w:rsid w:val="001C6AE6"/>
    <w:rsid w:val="001D1AD9"/>
    <w:rsid w:val="001D55AD"/>
    <w:rsid w:val="001E1706"/>
    <w:rsid w:val="001F1C6B"/>
    <w:rsid w:val="00204CFC"/>
    <w:rsid w:val="00241EEB"/>
    <w:rsid w:val="00244236"/>
    <w:rsid w:val="00272AC2"/>
    <w:rsid w:val="00275BBA"/>
    <w:rsid w:val="00277C0B"/>
    <w:rsid w:val="00282875"/>
    <w:rsid w:val="002A27E5"/>
    <w:rsid w:val="002B339B"/>
    <w:rsid w:val="002C39B1"/>
    <w:rsid w:val="002F1B4C"/>
    <w:rsid w:val="00300136"/>
    <w:rsid w:val="00334E0D"/>
    <w:rsid w:val="00335389"/>
    <w:rsid w:val="00351E07"/>
    <w:rsid w:val="00354C45"/>
    <w:rsid w:val="003562B5"/>
    <w:rsid w:val="0035682A"/>
    <w:rsid w:val="00376644"/>
    <w:rsid w:val="00377BE8"/>
    <w:rsid w:val="003834DD"/>
    <w:rsid w:val="003922B7"/>
    <w:rsid w:val="003928C6"/>
    <w:rsid w:val="003B67D0"/>
    <w:rsid w:val="003C1792"/>
    <w:rsid w:val="003D1D5C"/>
    <w:rsid w:val="003D2F3B"/>
    <w:rsid w:val="003E17C4"/>
    <w:rsid w:val="003E63DC"/>
    <w:rsid w:val="004150BF"/>
    <w:rsid w:val="004178B9"/>
    <w:rsid w:val="00425314"/>
    <w:rsid w:val="00434079"/>
    <w:rsid w:val="00452BC5"/>
    <w:rsid w:val="004636D0"/>
    <w:rsid w:val="00465CC2"/>
    <w:rsid w:val="0047048F"/>
    <w:rsid w:val="00494686"/>
    <w:rsid w:val="004B383C"/>
    <w:rsid w:val="004C139F"/>
    <w:rsid w:val="004D13C8"/>
    <w:rsid w:val="004D27DA"/>
    <w:rsid w:val="004D2C41"/>
    <w:rsid w:val="004D719E"/>
    <w:rsid w:val="004D761F"/>
    <w:rsid w:val="004F64DB"/>
    <w:rsid w:val="004F7379"/>
    <w:rsid w:val="00532A2B"/>
    <w:rsid w:val="00537A05"/>
    <w:rsid w:val="005446BA"/>
    <w:rsid w:val="005526A4"/>
    <w:rsid w:val="00564F44"/>
    <w:rsid w:val="00572F76"/>
    <w:rsid w:val="005762D9"/>
    <w:rsid w:val="00586C0B"/>
    <w:rsid w:val="00593985"/>
    <w:rsid w:val="005A2624"/>
    <w:rsid w:val="005B26F8"/>
    <w:rsid w:val="0060007A"/>
    <w:rsid w:val="0061328A"/>
    <w:rsid w:val="006134B8"/>
    <w:rsid w:val="00615071"/>
    <w:rsid w:val="0063742A"/>
    <w:rsid w:val="0064136F"/>
    <w:rsid w:val="00661FE8"/>
    <w:rsid w:val="00662805"/>
    <w:rsid w:val="00662F99"/>
    <w:rsid w:val="006770D4"/>
    <w:rsid w:val="0067781B"/>
    <w:rsid w:val="00682248"/>
    <w:rsid w:val="0068454C"/>
    <w:rsid w:val="00687555"/>
    <w:rsid w:val="006B466A"/>
    <w:rsid w:val="006B6636"/>
    <w:rsid w:val="006C21E7"/>
    <w:rsid w:val="006C6659"/>
    <w:rsid w:val="006D46EC"/>
    <w:rsid w:val="006D7A73"/>
    <w:rsid w:val="006E2A8D"/>
    <w:rsid w:val="00703864"/>
    <w:rsid w:val="00706766"/>
    <w:rsid w:val="007176A0"/>
    <w:rsid w:val="007505D1"/>
    <w:rsid w:val="00757A21"/>
    <w:rsid w:val="00765440"/>
    <w:rsid w:val="0077264A"/>
    <w:rsid w:val="007B5E3B"/>
    <w:rsid w:val="007C0D9A"/>
    <w:rsid w:val="007D4777"/>
    <w:rsid w:val="007E0BF4"/>
    <w:rsid w:val="007E51EA"/>
    <w:rsid w:val="007F0DDC"/>
    <w:rsid w:val="007F1CF0"/>
    <w:rsid w:val="00804056"/>
    <w:rsid w:val="00825510"/>
    <w:rsid w:val="008413C7"/>
    <w:rsid w:val="008617F3"/>
    <w:rsid w:val="00862C86"/>
    <w:rsid w:val="008807DA"/>
    <w:rsid w:val="00882633"/>
    <w:rsid w:val="00885CF9"/>
    <w:rsid w:val="00886305"/>
    <w:rsid w:val="008950C4"/>
    <w:rsid w:val="00897402"/>
    <w:rsid w:val="008A3DC0"/>
    <w:rsid w:val="008B67E9"/>
    <w:rsid w:val="008D55B3"/>
    <w:rsid w:val="008E2406"/>
    <w:rsid w:val="00906613"/>
    <w:rsid w:val="00910620"/>
    <w:rsid w:val="0097487B"/>
    <w:rsid w:val="009809D9"/>
    <w:rsid w:val="00986BC8"/>
    <w:rsid w:val="00991056"/>
    <w:rsid w:val="009978D7"/>
    <w:rsid w:val="009A520C"/>
    <w:rsid w:val="009B08B0"/>
    <w:rsid w:val="009B4684"/>
    <w:rsid w:val="009C2DAD"/>
    <w:rsid w:val="009D1CC1"/>
    <w:rsid w:val="009E0AFA"/>
    <w:rsid w:val="009E308B"/>
    <w:rsid w:val="00A16F2A"/>
    <w:rsid w:val="00A30E64"/>
    <w:rsid w:val="00A36DC3"/>
    <w:rsid w:val="00A61067"/>
    <w:rsid w:val="00A6266E"/>
    <w:rsid w:val="00A7227A"/>
    <w:rsid w:val="00A77676"/>
    <w:rsid w:val="00A92664"/>
    <w:rsid w:val="00A9485E"/>
    <w:rsid w:val="00AE2302"/>
    <w:rsid w:val="00AF6857"/>
    <w:rsid w:val="00AF6A96"/>
    <w:rsid w:val="00B04217"/>
    <w:rsid w:val="00B10028"/>
    <w:rsid w:val="00B13C3D"/>
    <w:rsid w:val="00B26787"/>
    <w:rsid w:val="00B308ED"/>
    <w:rsid w:val="00B32E87"/>
    <w:rsid w:val="00B355FC"/>
    <w:rsid w:val="00B45493"/>
    <w:rsid w:val="00B47F7B"/>
    <w:rsid w:val="00B5308C"/>
    <w:rsid w:val="00B666AD"/>
    <w:rsid w:val="00B74102"/>
    <w:rsid w:val="00B81ED6"/>
    <w:rsid w:val="00B854BC"/>
    <w:rsid w:val="00B900AF"/>
    <w:rsid w:val="00BA2254"/>
    <w:rsid w:val="00BB3492"/>
    <w:rsid w:val="00BC0830"/>
    <w:rsid w:val="00BD623F"/>
    <w:rsid w:val="00BF0E1A"/>
    <w:rsid w:val="00C144D1"/>
    <w:rsid w:val="00C23FC1"/>
    <w:rsid w:val="00C3598F"/>
    <w:rsid w:val="00C43693"/>
    <w:rsid w:val="00C4700B"/>
    <w:rsid w:val="00C606CB"/>
    <w:rsid w:val="00C65AA0"/>
    <w:rsid w:val="00C73B52"/>
    <w:rsid w:val="00C75437"/>
    <w:rsid w:val="00C777EA"/>
    <w:rsid w:val="00C93274"/>
    <w:rsid w:val="00C97DFC"/>
    <w:rsid w:val="00CB0F9A"/>
    <w:rsid w:val="00CB54FB"/>
    <w:rsid w:val="00CC3F3D"/>
    <w:rsid w:val="00CC739E"/>
    <w:rsid w:val="00CD0762"/>
    <w:rsid w:val="00CD6D96"/>
    <w:rsid w:val="00CE0879"/>
    <w:rsid w:val="00CF0E8D"/>
    <w:rsid w:val="00CF4F52"/>
    <w:rsid w:val="00D16026"/>
    <w:rsid w:val="00D31358"/>
    <w:rsid w:val="00D51323"/>
    <w:rsid w:val="00D62F55"/>
    <w:rsid w:val="00D70CDE"/>
    <w:rsid w:val="00D74CF9"/>
    <w:rsid w:val="00D95F7C"/>
    <w:rsid w:val="00DA2206"/>
    <w:rsid w:val="00DB078D"/>
    <w:rsid w:val="00DC41E6"/>
    <w:rsid w:val="00DE7F30"/>
    <w:rsid w:val="00DF348C"/>
    <w:rsid w:val="00E051C9"/>
    <w:rsid w:val="00E16308"/>
    <w:rsid w:val="00E3026F"/>
    <w:rsid w:val="00E323AE"/>
    <w:rsid w:val="00E362A1"/>
    <w:rsid w:val="00E416AF"/>
    <w:rsid w:val="00E4503F"/>
    <w:rsid w:val="00E617E1"/>
    <w:rsid w:val="00E63C69"/>
    <w:rsid w:val="00E6554B"/>
    <w:rsid w:val="00E72B49"/>
    <w:rsid w:val="00E760AC"/>
    <w:rsid w:val="00E84D35"/>
    <w:rsid w:val="00E91DEB"/>
    <w:rsid w:val="00E9462A"/>
    <w:rsid w:val="00E96605"/>
    <w:rsid w:val="00EA1CE0"/>
    <w:rsid w:val="00EA3FFB"/>
    <w:rsid w:val="00EA7260"/>
    <w:rsid w:val="00EA795A"/>
    <w:rsid w:val="00ED3184"/>
    <w:rsid w:val="00EE3BBA"/>
    <w:rsid w:val="00EE3D6E"/>
    <w:rsid w:val="00EF3AAD"/>
    <w:rsid w:val="00F020F4"/>
    <w:rsid w:val="00F02B07"/>
    <w:rsid w:val="00F0588E"/>
    <w:rsid w:val="00F30AF2"/>
    <w:rsid w:val="00F3789F"/>
    <w:rsid w:val="00F40708"/>
    <w:rsid w:val="00F40D59"/>
    <w:rsid w:val="00F433B8"/>
    <w:rsid w:val="00F67708"/>
    <w:rsid w:val="00F91247"/>
    <w:rsid w:val="00FA64DD"/>
    <w:rsid w:val="00FB0D81"/>
    <w:rsid w:val="00FB3E28"/>
    <w:rsid w:val="00FB782F"/>
    <w:rsid w:val="00FC4E42"/>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377B95"/>
  <w15:docId w15:val="{F8D4F5B7-B7FA-4FDF-8C4F-7E1E5FB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semiHidden/>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autoRedefine/>
    <w:uiPriority w:val="1"/>
    <w:qFormat/>
    <w:rsid w:val="001D55AD"/>
    <w:pPr>
      <w:jc w:val="center"/>
    </w:pPr>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1D55AD"/>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paragraph" w:styleId="NormalWeb">
    <w:name w:val="Normal (Web)"/>
    <w:basedOn w:val="Normal"/>
    <w:uiPriority w:val="99"/>
    <w:unhideWhenUsed/>
    <w:rsid w:val="00E16308"/>
    <w:pPr>
      <w:spacing w:before="100" w:beforeAutospacing="1" w:after="100" w:afterAutospacing="1"/>
    </w:pPr>
    <w:rPr>
      <w:rFonts w:eastAsia="Times New Roman"/>
      <w:color w:val="auto"/>
    </w:rPr>
  </w:style>
  <w:style w:type="paragraph" w:customStyle="1" w:styleId="Default">
    <w:name w:val="Default"/>
    <w:rsid w:val="00354C45"/>
    <w:pPr>
      <w:autoSpaceDE w:val="0"/>
      <w:autoSpaceDN w:val="0"/>
      <w:adjustRightInd w:val="0"/>
      <w:spacing w:after="0" w:line="240" w:lineRule="auto"/>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1256">
      <w:bodyDiv w:val="1"/>
      <w:marLeft w:val="0"/>
      <w:marRight w:val="0"/>
      <w:marTop w:val="0"/>
      <w:marBottom w:val="0"/>
      <w:divBdr>
        <w:top w:val="none" w:sz="0" w:space="0" w:color="auto"/>
        <w:left w:val="none" w:sz="0" w:space="0" w:color="auto"/>
        <w:bottom w:val="none" w:sz="0" w:space="0" w:color="auto"/>
        <w:right w:val="none" w:sz="0" w:space="0" w:color="auto"/>
      </w:divBdr>
    </w:div>
    <w:div w:id="493107019">
      <w:bodyDiv w:val="1"/>
      <w:marLeft w:val="0"/>
      <w:marRight w:val="0"/>
      <w:marTop w:val="0"/>
      <w:marBottom w:val="0"/>
      <w:divBdr>
        <w:top w:val="none" w:sz="0" w:space="0" w:color="auto"/>
        <w:left w:val="none" w:sz="0" w:space="0" w:color="auto"/>
        <w:bottom w:val="none" w:sz="0" w:space="0" w:color="auto"/>
        <w:right w:val="none" w:sz="0" w:space="0" w:color="auto"/>
      </w:divBdr>
    </w:div>
    <w:div w:id="653414302">
      <w:bodyDiv w:val="1"/>
      <w:marLeft w:val="0"/>
      <w:marRight w:val="0"/>
      <w:marTop w:val="0"/>
      <w:marBottom w:val="0"/>
      <w:divBdr>
        <w:top w:val="none" w:sz="0" w:space="0" w:color="auto"/>
        <w:left w:val="none" w:sz="0" w:space="0" w:color="auto"/>
        <w:bottom w:val="none" w:sz="0" w:space="0" w:color="auto"/>
        <w:right w:val="none" w:sz="0" w:space="0" w:color="auto"/>
      </w:divBdr>
    </w:div>
    <w:div w:id="724262196">
      <w:bodyDiv w:val="1"/>
      <w:marLeft w:val="0"/>
      <w:marRight w:val="0"/>
      <w:marTop w:val="0"/>
      <w:marBottom w:val="0"/>
      <w:divBdr>
        <w:top w:val="none" w:sz="0" w:space="0" w:color="auto"/>
        <w:left w:val="none" w:sz="0" w:space="0" w:color="auto"/>
        <w:bottom w:val="none" w:sz="0" w:space="0" w:color="auto"/>
        <w:right w:val="none" w:sz="0" w:space="0" w:color="auto"/>
      </w:divBdr>
    </w:div>
    <w:div w:id="810440749">
      <w:bodyDiv w:val="1"/>
      <w:marLeft w:val="0"/>
      <w:marRight w:val="0"/>
      <w:marTop w:val="0"/>
      <w:marBottom w:val="0"/>
      <w:divBdr>
        <w:top w:val="none" w:sz="0" w:space="0" w:color="auto"/>
        <w:left w:val="none" w:sz="0" w:space="0" w:color="auto"/>
        <w:bottom w:val="none" w:sz="0" w:space="0" w:color="auto"/>
        <w:right w:val="none" w:sz="0" w:space="0" w:color="auto"/>
      </w:divBdr>
    </w:div>
    <w:div w:id="1020015036">
      <w:bodyDiv w:val="1"/>
      <w:marLeft w:val="0"/>
      <w:marRight w:val="0"/>
      <w:marTop w:val="0"/>
      <w:marBottom w:val="0"/>
      <w:divBdr>
        <w:top w:val="none" w:sz="0" w:space="0" w:color="auto"/>
        <w:left w:val="none" w:sz="0" w:space="0" w:color="auto"/>
        <w:bottom w:val="none" w:sz="0" w:space="0" w:color="auto"/>
        <w:right w:val="none" w:sz="0" w:space="0" w:color="auto"/>
      </w:divBdr>
    </w:div>
    <w:div w:id="1780829809">
      <w:bodyDiv w:val="1"/>
      <w:marLeft w:val="0"/>
      <w:marRight w:val="0"/>
      <w:marTop w:val="0"/>
      <w:marBottom w:val="0"/>
      <w:divBdr>
        <w:top w:val="none" w:sz="0" w:space="0" w:color="auto"/>
        <w:left w:val="none" w:sz="0" w:space="0" w:color="auto"/>
        <w:bottom w:val="none" w:sz="0" w:space="0" w:color="auto"/>
        <w:right w:val="none" w:sz="0" w:space="0" w:color="auto"/>
      </w:divBdr>
    </w:div>
    <w:div w:id="1832259679">
      <w:bodyDiv w:val="1"/>
      <w:marLeft w:val="0"/>
      <w:marRight w:val="0"/>
      <w:marTop w:val="0"/>
      <w:marBottom w:val="0"/>
      <w:divBdr>
        <w:top w:val="none" w:sz="0" w:space="0" w:color="auto"/>
        <w:left w:val="none" w:sz="0" w:space="0" w:color="auto"/>
        <w:bottom w:val="none" w:sz="0" w:space="0" w:color="auto"/>
        <w:right w:val="none" w:sz="0" w:space="0" w:color="auto"/>
      </w:divBdr>
    </w:div>
    <w:div w:id="2005932348">
      <w:bodyDiv w:val="1"/>
      <w:marLeft w:val="0"/>
      <w:marRight w:val="0"/>
      <w:marTop w:val="0"/>
      <w:marBottom w:val="0"/>
      <w:divBdr>
        <w:top w:val="none" w:sz="0" w:space="0" w:color="auto"/>
        <w:left w:val="none" w:sz="0" w:space="0" w:color="auto"/>
        <w:bottom w:val="none" w:sz="0" w:space="0" w:color="auto"/>
        <w:right w:val="none" w:sz="0" w:space="0" w:color="auto"/>
      </w:divBdr>
    </w:div>
    <w:div w:id="20640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erabek\AppData\Roaming\Microsoft\Templates\LSQIN\LSQIN-Regional%20-%20Flier%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_Status xmlns="http://schemas.microsoft.com/sharepoint/v3/fields" xsi:nil="true"/>
    <State xmlns="e2c2d969-04b7-4b0f-a124-70685b69bfa3">All</St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5" ma:contentTypeDescription="Create a new document." ma:contentTypeScope="" ma:versionID="ccac09e4207978c2a371c015da471888">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5fc3a7db8b3870a1b00cef58b3bf37d1"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2.xml><?xml version="1.0" encoding="utf-8"?>
<ds:datastoreItem xmlns:ds="http://schemas.openxmlformats.org/officeDocument/2006/customXml" ds:itemID="{26358032-758C-443C-81A6-7D8F80557685}">
  <ds:schemaRefs>
    <ds:schemaRef ds:uri="http://purl.org/dc/elements/1.1/"/>
    <ds:schemaRef ds:uri="http://schemas.microsoft.com/office/2006/metadata/properties"/>
    <ds:schemaRef ds:uri="http://purl.org/dc/terms/"/>
    <ds:schemaRef ds:uri="e2c2d969-04b7-4b0f-a124-70685b69bfa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4.xml><?xml version="1.0" encoding="utf-8"?>
<ds:datastoreItem xmlns:ds="http://schemas.openxmlformats.org/officeDocument/2006/customXml" ds:itemID="{C42D391C-5525-4325-B836-25AF112D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4343D4-7040-4AC2-B117-F05D72E1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LSQIN-Regional - Flier Multi-Page.dotx</Template>
  <TotalTime>16</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LSQIN-ALL-Flier-Template-Multi-Page</vt:lpstr>
    </vt:vector>
  </TitlesOfParts>
  <Company>Microsoft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LSQIN-ALL-Flier-Template-Multi-Page</dc:title>
  <dc:subject/>
  <dc:creator>Lydia Jerabek</dc:creator>
  <cp:keywords/>
  <dc:description/>
  <cp:lastModifiedBy>Lydia Jerabek</cp:lastModifiedBy>
  <cp:revision>4</cp:revision>
  <cp:lastPrinted>2014-09-22T20:34:00Z</cp:lastPrinted>
  <dcterms:created xsi:type="dcterms:W3CDTF">2018-11-28T19:28:00Z</dcterms:created>
  <dcterms:modified xsi:type="dcterms:W3CDTF">2018-11-28T19:44:00Z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y fmtid="{D5CDD505-2E9C-101B-9397-08002B2CF9AE}" pid="3" name="State">
    <vt:lpwstr>All</vt:lpwstr>
  </property>
</Properties>
</file>