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CA4" w:rsidRPr="00CC142D" w:rsidRDefault="003B0CA4" w:rsidP="003B0CA4">
      <w:pPr>
        <w:pStyle w:val="Header"/>
        <w:jc w:val="center"/>
        <w:rPr>
          <w:sz w:val="32"/>
          <w:szCs w:val="32"/>
        </w:rPr>
      </w:pPr>
      <w:r>
        <w:rPr>
          <w:rFonts w:ascii="Arial" w:eastAsiaTheme="majorEastAsia" w:hAnsi="Arial" w:cstheme="majorBidi"/>
          <w:b/>
          <w:color w:val="00539B"/>
          <w:kern w:val="28"/>
          <w:sz w:val="44"/>
          <w:szCs w:val="52"/>
        </w:rPr>
        <w:t>T</w:t>
      </w:r>
      <w:r w:rsidRPr="003B0CA4">
        <w:rPr>
          <w:rFonts w:ascii="Arial" w:eastAsiaTheme="majorEastAsia" w:hAnsi="Arial" w:cstheme="majorBidi"/>
          <w:b/>
          <w:color w:val="00539B"/>
          <w:kern w:val="28"/>
          <w:sz w:val="44"/>
          <w:szCs w:val="52"/>
        </w:rPr>
        <w:t>ool to Support Patient</w:t>
      </w:r>
      <w:r w:rsidR="00B21D82">
        <w:rPr>
          <w:rFonts w:ascii="Arial" w:eastAsiaTheme="majorEastAsia" w:hAnsi="Arial" w:cstheme="majorBidi"/>
          <w:b/>
          <w:color w:val="00539B"/>
          <w:kern w:val="28"/>
          <w:sz w:val="44"/>
          <w:szCs w:val="52"/>
        </w:rPr>
        <w:t>s</w:t>
      </w:r>
      <w:r w:rsidRPr="003B0CA4">
        <w:rPr>
          <w:rFonts w:ascii="Arial" w:eastAsiaTheme="majorEastAsia" w:hAnsi="Arial" w:cstheme="majorBidi"/>
          <w:b/>
          <w:color w:val="00539B"/>
          <w:kern w:val="28"/>
          <w:sz w:val="44"/>
          <w:szCs w:val="52"/>
        </w:rPr>
        <w:t xml:space="preserve"> </w:t>
      </w:r>
      <w:r w:rsidR="00B21D82">
        <w:rPr>
          <w:rFonts w:ascii="Arial" w:eastAsiaTheme="majorEastAsia" w:hAnsi="Arial" w:cstheme="majorBidi"/>
          <w:b/>
          <w:color w:val="00539B"/>
          <w:kern w:val="28"/>
          <w:sz w:val="44"/>
          <w:szCs w:val="52"/>
        </w:rPr>
        <w:br/>
      </w:r>
      <w:r w:rsidRPr="003B0CA4">
        <w:rPr>
          <w:rFonts w:ascii="Arial" w:eastAsiaTheme="majorEastAsia" w:hAnsi="Arial" w:cstheme="majorBidi"/>
          <w:b/>
          <w:color w:val="00539B"/>
          <w:kern w:val="28"/>
          <w:sz w:val="44"/>
          <w:szCs w:val="52"/>
        </w:rPr>
        <w:t>Through Behavioral Change</w:t>
      </w:r>
    </w:p>
    <w:p w:rsidR="00886305" w:rsidRPr="003B0CA4" w:rsidRDefault="00886305" w:rsidP="00886305">
      <w:pPr>
        <w:pStyle w:val="Title"/>
        <w:jc w:val="center"/>
        <w:rPr>
          <w:sz w:val="28"/>
        </w:rPr>
      </w:pPr>
    </w:p>
    <w:p w:rsidR="003B0CA4" w:rsidRPr="003B0CA4" w:rsidRDefault="003B0CA4" w:rsidP="003B0CA4">
      <w:pPr>
        <w:spacing w:before="240" w:after="240" w:line="336" w:lineRule="atLeast"/>
        <w:rPr>
          <w:rFonts w:eastAsia="Times New Roman"/>
        </w:rPr>
      </w:pPr>
      <w:r w:rsidRPr="003B0CA4">
        <w:rPr>
          <w:rFonts w:eastAsiaTheme="majorEastAsia" w:cstheme="majorBidi"/>
          <w:b/>
          <w:bCs/>
        </w:rPr>
        <w:t>Open-ended questions</w:t>
      </w:r>
      <w:r w:rsidRPr="003B0CA4">
        <w:rPr>
          <w:rFonts w:eastAsiaTheme="majorEastAsia"/>
          <w:b/>
          <w:bCs/>
        </w:rPr>
        <w:t>.</w:t>
      </w:r>
      <w:r w:rsidRPr="003B0CA4">
        <w:rPr>
          <w:rFonts w:eastAsia="Times New Roman"/>
          <w:b/>
          <w:bCs/>
        </w:rPr>
        <w:t xml:space="preserve"> </w:t>
      </w:r>
      <w:r w:rsidRPr="003B0CA4">
        <w:rPr>
          <w:rFonts w:eastAsia="Times New Roman"/>
        </w:rPr>
        <w:t> Avoid asking questions that can be answered</w:t>
      </w:r>
      <w:r w:rsidR="00B21D82">
        <w:rPr>
          <w:rFonts w:eastAsia="Times New Roman"/>
        </w:rPr>
        <w:t xml:space="preserve"> with a “</w:t>
      </w:r>
      <w:r w:rsidRPr="003B0CA4">
        <w:rPr>
          <w:rFonts w:eastAsia="Times New Roman"/>
        </w:rPr>
        <w:t>yes</w:t>
      </w:r>
      <w:r w:rsidR="00B21D82">
        <w:rPr>
          <w:rFonts w:eastAsia="Times New Roman"/>
        </w:rPr>
        <w:t>” or “no.”</w:t>
      </w:r>
      <w:r w:rsidRPr="003B0CA4">
        <w:rPr>
          <w:rFonts w:eastAsia="Times New Roman"/>
        </w:rPr>
        <w:t xml:space="preserve"> Broad questions allow patients maximum freedom to respond.</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What</w:t>
      </w:r>
      <w:r>
        <w:rPr>
          <w:rFonts w:eastAsia="Times New Roman"/>
        </w:rPr>
        <w:t>’</w:t>
      </w:r>
      <w:r w:rsidR="003B0CA4" w:rsidRPr="003B0CA4">
        <w:rPr>
          <w:rFonts w:eastAsia="Times New Roman"/>
        </w:rPr>
        <w:t>s been going on with you since we last met?</w:t>
      </w:r>
      <w:r>
        <w:rPr>
          <w:rFonts w:eastAsia="Times New Roman"/>
        </w:rPr>
        <w:t>”</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If you had one habit to change in order to improve y</w:t>
      </w:r>
      <w:r>
        <w:rPr>
          <w:rFonts w:eastAsia="Times New Roman"/>
        </w:rPr>
        <w:t>our health, what would that be?”</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What goal would you like</w:t>
      </w:r>
      <w:r>
        <w:rPr>
          <w:rFonts w:eastAsia="Times New Roman"/>
        </w:rPr>
        <w:t xml:space="preserve"> to set?”</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What might be one thing you</w:t>
      </w:r>
      <w:r>
        <w:rPr>
          <w:rFonts w:eastAsia="Times New Roman"/>
        </w:rPr>
        <w:t xml:space="preserve"> could consider doing/changing?”</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You seem _____ (</w:t>
      </w:r>
      <w:r w:rsidR="003B0CA4" w:rsidRPr="003B0CA4">
        <w:rPr>
          <w:rFonts w:eastAsia="Times New Roman"/>
          <w:i/>
          <w:iCs/>
        </w:rPr>
        <w:t>feeling</w:t>
      </w:r>
      <w:r>
        <w:rPr>
          <w:rFonts w:eastAsia="Times New Roman"/>
        </w:rPr>
        <w:t>). Tell me about that.”</w:t>
      </w:r>
    </w:p>
    <w:p w:rsidR="003B0CA4" w:rsidRPr="003B0CA4" w:rsidRDefault="003B0CA4" w:rsidP="003B0CA4">
      <w:pPr>
        <w:spacing w:before="240" w:after="240" w:line="336" w:lineRule="atLeast"/>
        <w:rPr>
          <w:rFonts w:eastAsia="Times New Roman"/>
        </w:rPr>
      </w:pPr>
      <w:r w:rsidRPr="003B0CA4">
        <w:rPr>
          <w:rFonts w:eastAsia="Times New Roman"/>
          <w:b/>
          <w:bCs/>
        </w:rPr>
        <w:t>Affirmations.</w:t>
      </w:r>
      <w:r w:rsidRPr="003B0CA4">
        <w:rPr>
          <w:rFonts w:eastAsia="Times New Roman"/>
        </w:rPr>
        <w:t xml:space="preserve"> Never underestimate the power of expressing empathy during tough spots or in celebrating patients</w:t>
      </w:r>
      <w:r w:rsidR="00B21D82">
        <w:rPr>
          <w:rFonts w:eastAsia="Times New Roman"/>
        </w:rPr>
        <w:t>’</w:t>
      </w:r>
      <w:r w:rsidRPr="003B0CA4">
        <w:rPr>
          <w:rFonts w:eastAsia="Times New Roman"/>
        </w:rPr>
        <w:t xml:space="preserve"> accomplishments. When you review patients</w:t>
      </w:r>
      <w:r w:rsidR="00B21D82">
        <w:rPr>
          <w:rFonts w:eastAsia="Times New Roman"/>
        </w:rPr>
        <w:t>’</w:t>
      </w:r>
      <w:r w:rsidRPr="003B0CA4">
        <w:rPr>
          <w:rFonts w:eastAsia="Times New Roman"/>
        </w:rPr>
        <w:t xml:space="preserve"> goals, take joy in their success and show your joy.</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 xml:space="preserve">You seem happy with your __________ </w:t>
      </w:r>
      <w:r w:rsidR="003B0CA4" w:rsidRPr="003B0CA4">
        <w:rPr>
          <w:rFonts w:eastAsia="Times New Roman"/>
          <w:i/>
          <w:iCs/>
        </w:rPr>
        <w:t>(weight, blood pressure, energy).</w:t>
      </w:r>
      <w:r>
        <w:rPr>
          <w:rFonts w:eastAsia="Times New Roman"/>
        </w:rPr>
        <w:t xml:space="preserve"> That’s great.”</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 xml:space="preserve">It sounds like you are really trying to____________ </w:t>
      </w:r>
      <w:r w:rsidR="003B0CA4" w:rsidRPr="003B0CA4">
        <w:rPr>
          <w:rFonts w:eastAsia="Times New Roman"/>
          <w:i/>
          <w:iCs/>
        </w:rPr>
        <w:t>(eat less junk food)</w:t>
      </w:r>
      <w:r>
        <w:rPr>
          <w:rFonts w:eastAsia="Times New Roman"/>
        </w:rPr>
        <w:t>. I’</w:t>
      </w:r>
      <w:r w:rsidR="003B0CA4" w:rsidRPr="003B0CA4">
        <w:rPr>
          <w:rFonts w:eastAsia="Times New Roman"/>
        </w:rPr>
        <w:t>m prou</w:t>
      </w:r>
      <w:r>
        <w:rPr>
          <w:rFonts w:eastAsia="Times New Roman"/>
        </w:rPr>
        <w:t>d of you.”</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You</w:t>
      </w:r>
      <w:r>
        <w:rPr>
          <w:rFonts w:eastAsia="Times New Roman"/>
        </w:rPr>
        <w:t>’</w:t>
      </w:r>
      <w:r w:rsidR="003B0CA4" w:rsidRPr="003B0CA4">
        <w:rPr>
          <w:rFonts w:eastAsia="Times New Roman"/>
        </w:rPr>
        <w:t xml:space="preserve">re doing such a nice job at ____________ </w:t>
      </w:r>
      <w:r w:rsidR="003B0CA4" w:rsidRPr="003B0CA4">
        <w:rPr>
          <w:rFonts w:eastAsia="Times New Roman"/>
          <w:i/>
          <w:iCs/>
        </w:rPr>
        <w:t>(getting up early to walk).</w:t>
      </w:r>
      <w:r w:rsidR="003B0CA4" w:rsidRPr="003B0CA4">
        <w:rPr>
          <w:rFonts w:eastAsia="Times New Roman"/>
        </w:rPr>
        <w:t xml:space="preserve"> I</w:t>
      </w:r>
      <w:r>
        <w:rPr>
          <w:rFonts w:eastAsia="Times New Roman"/>
        </w:rPr>
        <w:t>’</w:t>
      </w:r>
      <w:r w:rsidR="003B0CA4" w:rsidRPr="003B0CA4">
        <w:rPr>
          <w:rFonts w:eastAsia="Times New Roman"/>
        </w:rPr>
        <w:t>m put</w:t>
      </w:r>
      <w:r>
        <w:rPr>
          <w:rFonts w:eastAsia="Times New Roman"/>
        </w:rPr>
        <w:t>ting a gold star in your chart.”</w:t>
      </w:r>
    </w:p>
    <w:p w:rsidR="003B0CA4" w:rsidRPr="003B0CA4" w:rsidRDefault="003B0CA4" w:rsidP="003B0CA4">
      <w:pPr>
        <w:spacing w:before="240" w:after="240" w:line="336" w:lineRule="atLeast"/>
        <w:rPr>
          <w:rFonts w:eastAsia="Times New Roman"/>
        </w:rPr>
      </w:pPr>
      <w:r w:rsidRPr="003B0CA4">
        <w:rPr>
          <w:rFonts w:eastAsia="Times New Roman"/>
          <w:b/>
          <w:bCs/>
        </w:rPr>
        <w:t>Reflective listening</w:t>
      </w:r>
      <w:r w:rsidRPr="003B0CA4">
        <w:rPr>
          <w:rFonts w:eastAsia="Times New Roman"/>
        </w:rPr>
        <w:t xml:space="preserve">. Patients often </w:t>
      </w:r>
      <w:r w:rsidR="00B21D82">
        <w:rPr>
          <w:rFonts w:eastAsia="Times New Roman"/>
        </w:rPr>
        <w:t>have the answers; the clinician’</w:t>
      </w:r>
      <w:r w:rsidRPr="003B0CA4">
        <w:rPr>
          <w:rFonts w:eastAsia="Times New Roman"/>
        </w:rPr>
        <w:t>s role is to help guide them. Reflective listening involves letting patients express their thoughts and then, instead of telling them what to do, capturing the essence of what they have said without judgment. It is also appropr</w:t>
      </w:r>
      <w:r w:rsidR="00B21D82">
        <w:rPr>
          <w:rFonts w:eastAsia="Times New Roman"/>
        </w:rPr>
        <w:t>iate to acknowledge the patient’</w:t>
      </w:r>
      <w:r w:rsidRPr="003B0CA4">
        <w:rPr>
          <w:rFonts w:eastAsia="Times New Roman"/>
        </w:rPr>
        <w:t>s mood about what he or she is telling you.</w:t>
      </w:r>
    </w:p>
    <w:p w:rsidR="003B0CA4" w:rsidRPr="003B0CA4" w:rsidRDefault="00B21D82" w:rsidP="003B0CA4">
      <w:pPr>
        <w:spacing w:before="240" w:after="240" w:line="336" w:lineRule="atLeast"/>
        <w:rPr>
          <w:rFonts w:eastAsia="Times New Roman"/>
        </w:rPr>
      </w:pPr>
      <w:r>
        <w:rPr>
          <w:rFonts w:eastAsia="Times New Roman"/>
        </w:rPr>
        <w:t>Patient: “</w:t>
      </w:r>
      <w:r w:rsidR="003B0CA4" w:rsidRPr="003B0CA4">
        <w:rPr>
          <w:rFonts w:eastAsia="Times New Roman"/>
        </w:rPr>
        <w:t>I</w:t>
      </w:r>
      <w:r>
        <w:rPr>
          <w:rFonts w:eastAsia="Times New Roman"/>
        </w:rPr>
        <w:t xml:space="preserve"> wish I didn’t eat so much fast food.”</w:t>
      </w:r>
    </w:p>
    <w:p w:rsidR="003B0CA4" w:rsidRPr="003B0CA4" w:rsidRDefault="003B0CA4" w:rsidP="003B0CA4">
      <w:pPr>
        <w:spacing w:before="240" w:after="240" w:line="336" w:lineRule="atLeast"/>
        <w:rPr>
          <w:rFonts w:eastAsia="Times New Roman"/>
        </w:rPr>
      </w:pPr>
      <w:r w:rsidRPr="003B0CA4">
        <w:rPr>
          <w:rFonts w:eastAsia="Times New Roman"/>
        </w:rPr>
        <w:t xml:space="preserve">Doctor: </w:t>
      </w:r>
      <w:r w:rsidR="00B21D82">
        <w:rPr>
          <w:rFonts w:eastAsia="Times New Roman"/>
        </w:rPr>
        <w:t>“You eat fast food fairly often.”</w:t>
      </w:r>
    </w:p>
    <w:p w:rsidR="003B0CA4" w:rsidRPr="003B0CA4" w:rsidRDefault="00B21D82" w:rsidP="003B0CA4">
      <w:pPr>
        <w:spacing w:before="240" w:after="240" w:line="336" w:lineRule="atLeast"/>
        <w:rPr>
          <w:rFonts w:eastAsia="Times New Roman"/>
        </w:rPr>
      </w:pPr>
      <w:r>
        <w:rPr>
          <w:rFonts w:eastAsia="Times New Roman"/>
        </w:rPr>
        <w:t>Patient: “</w:t>
      </w:r>
      <w:r w:rsidR="003B0CA4" w:rsidRPr="003B0CA4">
        <w:rPr>
          <w:rFonts w:eastAsia="Times New Roman"/>
        </w:rPr>
        <w:t>Pretty m</w:t>
      </w:r>
      <w:r>
        <w:rPr>
          <w:rFonts w:eastAsia="Times New Roman"/>
        </w:rPr>
        <w:t>uch every day. I know I shouldn’t, but it’s just easier.”</w:t>
      </w:r>
    </w:p>
    <w:p w:rsidR="004B383C" w:rsidRDefault="004B383C" w:rsidP="00BC0830">
      <w:pPr>
        <w:pStyle w:val="BasicParagraph"/>
        <w:rPr>
          <w:b/>
          <w:bCs/>
        </w:rPr>
      </w:pPr>
    </w:p>
    <w:p w:rsidR="004B383C" w:rsidRDefault="004B383C" w:rsidP="00BC0830">
      <w:pPr>
        <w:pStyle w:val="BasicParagraph"/>
        <w:rPr>
          <w:b/>
          <w:bCs/>
        </w:rPr>
        <w:sectPr w:rsidR="004B383C" w:rsidSect="007F1CF0">
          <w:headerReference w:type="default" r:id="rId12"/>
          <w:footerReference w:type="default" r:id="rId13"/>
          <w:headerReference w:type="first" r:id="rId14"/>
          <w:footerReference w:type="first" r:id="rId15"/>
          <w:pgSz w:w="12240" w:h="15840"/>
          <w:pgMar w:top="720" w:right="900" w:bottom="720" w:left="900" w:header="1152" w:footer="504" w:gutter="0"/>
          <w:cols w:space="720"/>
          <w:noEndnote/>
          <w:titlePg/>
          <w:docGrid w:linePitch="326"/>
        </w:sectPr>
      </w:pPr>
    </w:p>
    <w:p w:rsidR="003B0CA4" w:rsidRPr="003B0CA4" w:rsidRDefault="00B21D82" w:rsidP="003B0CA4">
      <w:pPr>
        <w:spacing w:before="240" w:after="240" w:line="336" w:lineRule="atLeast"/>
        <w:rPr>
          <w:rFonts w:eastAsia="Times New Roman"/>
        </w:rPr>
      </w:pPr>
      <w:r>
        <w:rPr>
          <w:rFonts w:eastAsia="Times New Roman"/>
        </w:rPr>
        <w:lastRenderedPageBreak/>
        <w:t>Doctor: “It’</w:t>
      </w:r>
      <w:r w:rsidR="003B0CA4" w:rsidRPr="003B0CA4">
        <w:rPr>
          <w:rFonts w:eastAsia="Times New Roman"/>
        </w:rPr>
        <w:t>s easier because you don</w:t>
      </w:r>
      <w:r>
        <w:rPr>
          <w:rFonts w:eastAsia="Times New Roman"/>
        </w:rPr>
        <w:t>’t have to plan and cook meals.”</w:t>
      </w:r>
    </w:p>
    <w:p w:rsidR="003B0CA4" w:rsidRPr="003B0CA4" w:rsidRDefault="00B21D82" w:rsidP="003B0CA4">
      <w:pPr>
        <w:spacing w:before="240" w:after="240" w:line="336" w:lineRule="atLeast"/>
        <w:rPr>
          <w:rFonts w:eastAsia="Times New Roman"/>
        </w:rPr>
      </w:pPr>
      <w:r>
        <w:rPr>
          <w:rFonts w:eastAsia="Times New Roman"/>
        </w:rPr>
        <w:t>Patient: “</w:t>
      </w:r>
      <w:r w:rsidR="003B0CA4" w:rsidRPr="003B0CA4">
        <w:rPr>
          <w:rFonts w:eastAsia="Times New Roman"/>
        </w:rPr>
        <w:t>And I can just</w:t>
      </w:r>
      <w:r>
        <w:rPr>
          <w:rFonts w:eastAsia="Times New Roman"/>
        </w:rPr>
        <w:t xml:space="preserve"> run over to the drive-through.”</w:t>
      </w:r>
    </w:p>
    <w:p w:rsidR="003B0CA4" w:rsidRPr="003B0CA4" w:rsidRDefault="00B21D82" w:rsidP="003B0CA4">
      <w:pPr>
        <w:spacing w:before="240" w:after="240" w:line="336" w:lineRule="atLeast"/>
        <w:rPr>
          <w:rFonts w:eastAsia="Times New Roman"/>
        </w:rPr>
      </w:pPr>
      <w:r>
        <w:rPr>
          <w:rFonts w:eastAsia="Times New Roman"/>
        </w:rPr>
        <w:t>Patient: “</w:t>
      </w:r>
      <w:r w:rsidR="003B0CA4" w:rsidRPr="003B0CA4">
        <w:rPr>
          <w:rFonts w:eastAsia="Times New Roman"/>
        </w:rPr>
        <w:t xml:space="preserve">Right... I guess there are </w:t>
      </w:r>
      <w:r>
        <w:rPr>
          <w:rFonts w:eastAsia="Times New Roman"/>
        </w:rPr>
        <w:t>some healthy items on the menu.”</w:t>
      </w:r>
    </w:p>
    <w:p w:rsidR="003B0CA4" w:rsidRPr="003B0CA4" w:rsidRDefault="00B21D82" w:rsidP="003B0CA4">
      <w:pPr>
        <w:spacing w:before="240" w:after="240" w:line="336" w:lineRule="atLeast"/>
        <w:rPr>
          <w:rFonts w:eastAsia="Times New Roman"/>
        </w:rPr>
      </w:pPr>
      <w:r>
        <w:rPr>
          <w:rFonts w:eastAsia="Times New Roman"/>
        </w:rPr>
        <w:t>Doctor: “So you don’</w:t>
      </w:r>
      <w:bookmarkStart w:id="0" w:name="_GoBack"/>
      <w:bookmarkEnd w:id="0"/>
      <w:r w:rsidR="003B0CA4" w:rsidRPr="003B0CA4">
        <w:rPr>
          <w:rFonts w:eastAsia="Times New Roman"/>
        </w:rPr>
        <w:t>t want to give up the convenience of fast food, but y</w:t>
      </w:r>
      <w:r>
        <w:rPr>
          <w:rFonts w:eastAsia="Times New Roman"/>
        </w:rPr>
        <w:t>ou would like to eat healthier.”</w:t>
      </w:r>
    </w:p>
    <w:p w:rsidR="003B0CA4" w:rsidRPr="003B0CA4" w:rsidRDefault="003B0CA4" w:rsidP="003B0CA4">
      <w:pPr>
        <w:spacing w:before="240" w:after="240" w:line="336" w:lineRule="atLeast"/>
        <w:rPr>
          <w:rFonts w:eastAsia="Times New Roman"/>
        </w:rPr>
      </w:pPr>
      <w:r w:rsidRPr="003B0CA4">
        <w:rPr>
          <w:rFonts w:eastAsia="Times New Roman"/>
          <w:b/>
          <w:bCs/>
        </w:rPr>
        <w:t>Summaries.</w:t>
      </w:r>
      <w:r w:rsidRPr="003B0CA4">
        <w:rPr>
          <w:rFonts w:eastAsia="Times New Roman"/>
        </w:rPr>
        <w:t xml:space="preserve"> This involves recapping what the patient has said, calling attention to the salient elements of the discussion, and allowing the patient to correct any misunderstandings and add anything that was missed. Summaries are particularly helpful in bringing the visit to a close.</w:t>
      </w:r>
    </w:p>
    <w:p w:rsidR="003B0CA4" w:rsidRPr="003B0CA4" w:rsidRDefault="00B21D82" w:rsidP="003B0CA4">
      <w:pPr>
        <w:spacing w:before="240" w:after="240" w:line="336" w:lineRule="atLeast"/>
        <w:rPr>
          <w:rFonts w:eastAsia="Times New Roman"/>
        </w:rPr>
      </w:pPr>
      <w:r>
        <w:rPr>
          <w:rFonts w:eastAsia="Times New Roman"/>
        </w:rPr>
        <w:t>___ “I am wondering what you’re feeling at this point.”</w:t>
      </w:r>
    </w:p>
    <w:p w:rsidR="003B0CA4" w:rsidRPr="003B0CA4" w:rsidRDefault="00B21D82" w:rsidP="003B0CA4">
      <w:pPr>
        <w:spacing w:before="240" w:after="240" w:line="336" w:lineRule="atLeast"/>
        <w:rPr>
          <w:rFonts w:eastAsia="Times New Roman"/>
        </w:rPr>
      </w:pPr>
      <w:r>
        <w:rPr>
          <w:rFonts w:eastAsia="Times New Roman"/>
        </w:rPr>
        <w:t>___ “</w:t>
      </w:r>
      <w:r w:rsidR="003B0CA4" w:rsidRPr="003B0CA4">
        <w:rPr>
          <w:rFonts w:eastAsia="Times New Roman"/>
        </w:rPr>
        <w:t xml:space="preserve">I am wondering what you </w:t>
      </w:r>
      <w:r>
        <w:rPr>
          <w:rFonts w:eastAsia="Times New Roman"/>
        </w:rPr>
        <w:t>think your next step should be.”</w:t>
      </w:r>
    </w:p>
    <w:p w:rsidR="003B0CA4" w:rsidRPr="003B0CA4" w:rsidRDefault="00B21D82" w:rsidP="003B0CA4">
      <w:pPr>
        <w:pStyle w:val="BasicParagraph"/>
        <w:rPr>
          <w:rFonts w:ascii="Times New Roman" w:hAnsi="Times New Roman" w:cs="Times New Roman"/>
          <w:b/>
          <w:bCs/>
          <w:sz w:val="24"/>
          <w:szCs w:val="24"/>
        </w:rPr>
      </w:pPr>
      <w:r>
        <w:rPr>
          <w:rFonts w:ascii="Times New Roman" w:eastAsia="Times New Roman" w:hAnsi="Times New Roman" w:cs="Times New Roman"/>
          <w:sz w:val="24"/>
          <w:szCs w:val="24"/>
        </w:rPr>
        <w:t>___ “</w:t>
      </w:r>
      <w:r w:rsidR="003B0CA4" w:rsidRPr="003B0CA4">
        <w:rPr>
          <w:rFonts w:ascii="Times New Roman" w:eastAsia="Times New Roman" w:hAnsi="Times New Roman" w:cs="Times New Roman"/>
          <w:sz w:val="24"/>
          <w:szCs w:val="24"/>
        </w:rPr>
        <w:t>It sounds lik</w:t>
      </w:r>
      <w:r>
        <w:rPr>
          <w:rFonts w:ascii="Times New Roman" w:eastAsia="Times New Roman" w:hAnsi="Times New Roman" w:cs="Times New Roman"/>
          <w:sz w:val="24"/>
          <w:szCs w:val="24"/>
        </w:rPr>
        <w:t>e you are saying...”      ___ “</w:t>
      </w:r>
      <w:r w:rsidR="003B0CA4" w:rsidRPr="003B0CA4">
        <w:rPr>
          <w:rFonts w:ascii="Times New Roman" w:eastAsia="Times New Roman" w:hAnsi="Times New Roman" w:cs="Times New Roman"/>
          <w:sz w:val="24"/>
          <w:szCs w:val="24"/>
        </w:rPr>
        <w:t>... did I get that right?</w:t>
      </w:r>
      <w:r>
        <w:rPr>
          <w:rFonts w:ascii="Times New Roman" w:eastAsia="Times New Roman" w:hAnsi="Times New Roman" w:cs="Times New Roman"/>
          <w:sz w:val="24"/>
          <w:szCs w:val="24"/>
        </w:rPr>
        <w:t>”</w:t>
      </w:r>
      <w:r w:rsidR="003B0CA4" w:rsidRPr="003B0CA4">
        <w:rPr>
          <w:rFonts w:ascii="Times New Roman" w:eastAsia="Times New Roman" w:hAnsi="Times New Roman" w:cs="Times New Roman"/>
          <w:sz w:val="24"/>
          <w:szCs w:val="24"/>
        </w:rPr>
        <w:t xml:space="preserve"> </w:t>
      </w:r>
      <w:r w:rsidR="003B0CA4" w:rsidRPr="003B0CA4">
        <w:rPr>
          <w:rFonts w:ascii="Times New Roman" w:eastAsia="Times New Roman" w:hAnsi="Times New Roman" w:cs="Times New Roman"/>
          <w:i/>
          <w:iCs/>
          <w:sz w:val="24"/>
          <w:szCs w:val="24"/>
        </w:rPr>
        <w:t>(summarize in about 10 words)</w:t>
      </w:r>
    </w:p>
    <w:p w:rsidR="003B0CA4" w:rsidRDefault="003B0CA4" w:rsidP="003B0CA4">
      <w:pPr>
        <w:pStyle w:val="BasicParagraph"/>
        <w:rPr>
          <w:b/>
          <w:bCs/>
        </w:rPr>
      </w:pPr>
    </w:p>
    <w:p w:rsidR="003B0CA4" w:rsidRDefault="003B0CA4" w:rsidP="003B0CA4">
      <w:pPr>
        <w:pStyle w:val="BasicParagraph"/>
        <w:rPr>
          <w:b/>
          <w:bCs/>
        </w:rPr>
      </w:pPr>
    </w:p>
    <w:p w:rsidR="003B0CA4" w:rsidRPr="003B0CA4" w:rsidRDefault="003B0CA4" w:rsidP="003B0CA4">
      <w:pPr>
        <w:shd w:val="clear" w:color="auto" w:fill="EEEEEE"/>
        <w:spacing w:before="240" w:after="240" w:line="336" w:lineRule="atLeast"/>
        <w:rPr>
          <w:rFonts w:eastAsia="Times New Roman"/>
          <w:color w:val="000000"/>
        </w:rPr>
      </w:pPr>
      <w:r w:rsidRPr="003B0CA4">
        <w:rPr>
          <w:rFonts w:eastAsia="Times New Roman"/>
          <w:color w:val="000000"/>
        </w:rPr>
        <w:t>The open-ended questions in Tool 12 are adap</w:t>
      </w:r>
      <w:r w:rsidR="00B21D82">
        <w:rPr>
          <w:rFonts w:eastAsia="Times New Roman"/>
          <w:color w:val="000000"/>
        </w:rPr>
        <w:t xml:space="preserve">ted from: William R. Miller and </w:t>
      </w:r>
      <w:r w:rsidRPr="003B0CA4">
        <w:rPr>
          <w:rFonts w:eastAsia="Times New Roman"/>
          <w:color w:val="000000"/>
        </w:rPr>
        <w:t xml:space="preserve">Stephen </w:t>
      </w:r>
      <w:proofErr w:type="spellStart"/>
      <w:r w:rsidRPr="003B0CA4">
        <w:rPr>
          <w:rFonts w:eastAsia="Times New Roman"/>
          <w:color w:val="000000"/>
        </w:rPr>
        <w:t>Rollnick</w:t>
      </w:r>
      <w:proofErr w:type="spellEnd"/>
      <w:r w:rsidRPr="003B0CA4">
        <w:rPr>
          <w:rFonts w:eastAsia="Times New Roman"/>
          <w:color w:val="000000"/>
        </w:rPr>
        <w:t>. Motivational Interviewing: Preparing People for Change. 2nd ed. The Guilford Press, New York, 2002.</w:t>
      </w:r>
    </w:p>
    <w:p w:rsidR="003B0CA4" w:rsidRPr="003B0CA4" w:rsidRDefault="003B0CA4" w:rsidP="003B0CA4">
      <w:pPr>
        <w:pStyle w:val="BasicParagraph"/>
        <w:rPr>
          <w:rFonts w:ascii="Times New Roman" w:eastAsia="Times New Roman" w:hAnsi="Times New Roman" w:cs="Times New Roman"/>
          <w:sz w:val="24"/>
          <w:szCs w:val="24"/>
        </w:rPr>
      </w:pPr>
    </w:p>
    <w:p w:rsidR="0064136F" w:rsidRDefault="007F1CF0" w:rsidP="004B383C">
      <w:pPr>
        <w:pStyle w:val="BasicParagraph"/>
        <w:rPr>
          <w:b/>
          <w:bCs/>
        </w:rPr>
      </w:pPr>
      <w:r>
        <w:rPr>
          <w:b/>
          <w:bCs/>
        </w:rPr>
        <w:softHyphen/>
      </w:r>
      <w:r>
        <w:rPr>
          <w:b/>
          <w:bCs/>
        </w:rPr>
        <w:softHyphen/>
      </w:r>
      <w:r>
        <w:rPr>
          <w:b/>
          <w:bCs/>
        </w:rPr>
        <w:softHyphen/>
      </w:r>
    </w:p>
    <w:sectPr w:rsidR="0064136F" w:rsidSect="007F1CF0">
      <w:headerReference w:type="default" r:id="rId16"/>
      <w:footerReference w:type="default" r:id="rId17"/>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A4" w:rsidRDefault="003B0CA4" w:rsidP="00F91247">
      <w:r>
        <w:separator/>
      </w:r>
    </w:p>
  </w:endnote>
  <w:endnote w:type="continuationSeparator" w:id="0">
    <w:p w:rsidR="003B0CA4" w:rsidRDefault="003B0CA4"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6976" behindDoc="0" locked="0" layoutInCell="1" allowOverlap="1" wp14:anchorId="323AAE94" wp14:editId="6D9EF3DD">
          <wp:simplePos x="0" y="0"/>
          <wp:positionH relativeFrom="column">
            <wp:posOffset>-343799</wp:posOffset>
          </wp:positionH>
          <wp:positionV relativeFrom="paragraph">
            <wp:posOffset>130035</wp:posOffset>
          </wp:positionV>
          <wp:extent cx="7315200" cy="91440"/>
          <wp:effectExtent l="0" t="0" r="0" b="0"/>
          <wp:wrapNone/>
          <wp:docPr id="23" name="Picture 23"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4D719E">
    <w:pPr>
      <w:pStyle w:val="BasicParagraph"/>
      <w:rPr>
        <w:b/>
        <w:color w:val="00539B"/>
        <w:sz w:val="18"/>
      </w:rPr>
    </w:pPr>
    <w:r>
      <w:rPr>
        <w:b/>
        <w:noProof/>
        <w:color w:val="00539B"/>
        <w:sz w:val="18"/>
      </w:rPr>
      <w:drawing>
        <wp:anchor distT="0" distB="0" distL="114300" distR="114300" simplePos="0" relativeHeight="251689984" behindDoc="0" locked="0" layoutInCell="1" allowOverlap="1" wp14:anchorId="1DE83192" wp14:editId="6FC2790A">
          <wp:simplePos x="0" y="0"/>
          <wp:positionH relativeFrom="column">
            <wp:posOffset>-343799</wp:posOffset>
          </wp:positionH>
          <wp:positionV relativeFrom="paragraph">
            <wp:posOffset>130035</wp:posOffset>
          </wp:positionV>
          <wp:extent cx="7315200" cy="91440"/>
          <wp:effectExtent l="0" t="0" r="0" b="0"/>
          <wp:wrapNone/>
          <wp:docPr id="25" name="Picture 25"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25C51588">
          <wp:simplePos x="0" y="0"/>
          <wp:positionH relativeFrom="column">
            <wp:posOffset>-344385</wp:posOffset>
          </wp:positionH>
          <wp:positionV relativeFrom="paragraph">
            <wp:posOffset>133730</wp:posOffset>
          </wp:positionV>
          <wp:extent cx="7315200" cy="91440"/>
          <wp:effectExtent l="0" t="0" r="0" b="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89727B" w:rsidRPr="0089727B">
      <w:rPr>
        <w:sz w:val="15"/>
        <w:szCs w:val="15"/>
      </w:rPr>
      <w:t>11SOW-WI-B2-17-08 041717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A4" w:rsidRDefault="003B0CA4" w:rsidP="00F91247">
      <w:r>
        <w:separator/>
      </w:r>
    </w:p>
  </w:footnote>
  <w:footnote w:type="continuationSeparator" w:id="0">
    <w:p w:rsidR="003B0CA4" w:rsidRDefault="003B0CA4"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Pr="00153DD8" w:rsidRDefault="001F013F">
    <w:pPr>
      <w:pStyle w:val="Header"/>
      <w:rPr>
        <w:vertAlign w:val="subscript"/>
      </w:rPr>
    </w:pPr>
    <w:r>
      <w:rPr>
        <w:noProof/>
        <w:color w:val="00539B"/>
        <w:sz w:val="40"/>
      </w:rPr>
      <mc:AlternateContent>
        <mc:Choice Requires="wps">
          <w:drawing>
            <wp:anchor distT="0" distB="0" distL="114300" distR="114300" simplePos="0" relativeHeight="251685888" behindDoc="0" locked="0" layoutInCell="1" allowOverlap="1" wp14:anchorId="1CAE11BE" wp14:editId="148F7E51">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2170" id="Rectangle 1" o:spid="_x0000_s1026" style="position:absolute;margin-left:-26.45pt;margin-top:-36.6pt;width:575.1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7F1CF0">
    <w:pPr>
      <w:pStyle w:val="Header"/>
      <w:spacing w:after="840"/>
    </w:pPr>
    <w:r>
      <w:rPr>
        <w:noProof/>
        <w:color w:val="00539B"/>
        <w:sz w:val="40"/>
      </w:rPr>
      <w:drawing>
        <wp:anchor distT="0" distB="0" distL="114300" distR="114300" simplePos="0" relativeHeight="251669504"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62" w:rsidRPr="00153DD8" w:rsidRDefault="001F013F">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14:editId="004EC3DA">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BBD8"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num>
  <w:num w:numId="5">
    <w:abstractNumId w:val="3"/>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A4"/>
    <w:rsid w:val="0000079D"/>
    <w:rsid w:val="00015CA1"/>
    <w:rsid w:val="00036E5B"/>
    <w:rsid w:val="000441AB"/>
    <w:rsid w:val="0005103E"/>
    <w:rsid w:val="00074519"/>
    <w:rsid w:val="00086E4D"/>
    <w:rsid w:val="000A7B6C"/>
    <w:rsid w:val="000A7F65"/>
    <w:rsid w:val="000B6FDE"/>
    <w:rsid w:val="000C6E62"/>
    <w:rsid w:val="000F3A2B"/>
    <w:rsid w:val="00116EEC"/>
    <w:rsid w:val="00153DD8"/>
    <w:rsid w:val="001727FC"/>
    <w:rsid w:val="001731D0"/>
    <w:rsid w:val="00182B5E"/>
    <w:rsid w:val="001A7F83"/>
    <w:rsid w:val="001B4621"/>
    <w:rsid w:val="001B6C1A"/>
    <w:rsid w:val="001B6F66"/>
    <w:rsid w:val="001E1706"/>
    <w:rsid w:val="001F013F"/>
    <w:rsid w:val="001F1C6B"/>
    <w:rsid w:val="00204CFC"/>
    <w:rsid w:val="00241EEB"/>
    <w:rsid w:val="00244236"/>
    <w:rsid w:val="00275BBA"/>
    <w:rsid w:val="00277C0B"/>
    <w:rsid w:val="00291A81"/>
    <w:rsid w:val="002B339B"/>
    <w:rsid w:val="002C39B1"/>
    <w:rsid w:val="002F1B4C"/>
    <w:rsid w:val="00300136"/>
    <w:rsid w:val="00334E0D"/>
    <w:rsid w:val="00335389"/>
    <w:rsid w:val="003562B5"/>
    <w:rsid w:val="0035682A"/>
    <w:rsid w:val="00376644"/>
    <w:rsid w:val="00377BE8"/>
    <w:rsid w:val="003834DD"/>
    <w:rsid w:val="003922B7"/>
    <w:rsid w:val="003B0CA4"/>
    <w:rsid w:val="003B67D0"/>
    <w:rsid w:val="003C1792"/>
    <w:rsid w:val="003E17C4"/>
    <w:rsid w:val="004150BF"/>
    <w:rsid w:val="004178B9"/>
    <w:rsid w:val="00425314"/>
    <w:rsid w:val="00452BC5"/>
    <w:rsid w:val="00465CC2"/>
    <w:rsid w:val="00494686"/>
    <w:rsid w:val="004B383C"/>
    <w:rsid w:val="004C139F"/>
    <w:rsid w:val="004D13C8"/>
    <w:rsid w:val="004D27DA"/>
    <w:rsid w:val="004D719E"/>
    <w:rsid w:val="004D761F"/>
    <w:rsid w:val="004F64DB"/>
    <w:rsid w:val="004F7379"/>
    <w:rsid w:val="00532A2B"/>
    <w:rsid w:val="00537A05"/>
    <w:rsid w:val="005446BA"/>
    <w:rsid w:val="005526A4"/>
    <w:rsid w:val="00564F44"/>
    <w:rsid w:val="00572F76"/>
    <w:rsid w:val="00586C0B"/>
    <w:rsid w:val="005A2624"/>
    <w:rsid w:val="005B26F8"/>
    <w:rsid w:val="0060007A"/>
    <w:rsid w:val="006134B8"/>
    <w:rsid w:val="00615071"/>
    <w:rsid w:val="0063742A"/>
    <w:rsid w:val="0064136F"/>
    <w:rsid w:val="00661FE8"/>
    <w:rsid w:val="00662F99"/>
    <w:rsid w:val="006770D4"/>
    <w:rsid w:val="0067781B"/>
    <w:rsid w:val="00682248"/>
    <w:rsid w:val="0068454C"/>
    <w:rsid w:val="00687555"/>
    <w:rsid w:val="006B466A"/>
    <w:rsid w:val="006C21E7"/>
    <w:rsid w:val="006C6659"/>
    <w:rsid w:val="006D46EC"/>
    <w:rsid w:val="006E2A8D"/>
    <w:rsid w:val="00703864"/>
    <w:rsid w:val="00706766"/>
    <w:rsid w:val="007176A0"/>
    <w:rsid w:val="007505D1"/>
    <w:rsid w:val="00757A21"/>
    <w:rsid w:val="0077264A"/>
    <w:rsid w:val="007B5E3B"/>
    <w:rsid w:val="007C0D9A"/>
    <w:rsid w:val="007E0BF4"/>
    <w:rsid w:val="007E51EA"/>
    <w:rsid w:val="007F0DDC"/>
    <w:rsid w:val="007F1CF0"/>
    <w:rsid w:val="00825510"/>
    <w:rsid w:val="008413C7"/>
    <w:rsid w:val="008617F3"/>
    <w:rsid w:val="00862C86"/>
    <w:rsid w:val="008807DA"/>
    <w:rsid w:val="00882633"/>
    <w:rsid w:val="00885CF9"/>
    <w:rsid w:val="00886305"/>
    <w:rsid w:val="008950C4"/>
    <w:rsid w:val="0089727B"/>
    <w:rsid w:val="008A3DC0"/>
    <w:rsid w:val="008D55B3"/>
    <w:rsid w:val="008E2406"/>
    <w:rsid w:val="00910620"/>
    <w:rsid w:val="009809D9"/>
    <w:rsid w:val="00986BC8"/>
    <w:rsid w:val="009978D7"/>
    <w:rsid w:val="009A520C"/>
    <w:rsid w:val="009B08B0"/>
    <w:rsid w:val="009B4684"/>
    <w:rsid w:val="009C2DAD"/>
    <w:rsid w:val="009D1CC1"/>
    <w:rsid w:val="009E0AFA"/>
    <w:rsid w:val="009E308B"/>
    <w:rsid w:val="00A16F2A"/>
    <w:rsid w:val="00A30E64"/>
    <w:rsid w:val="00A36DC3"/>
    <w:rsid w:val="00A6266E"/>
    <w:rsid w:val="00A7227A"/>
    <w:rsid w:val="00A77676"/>
    <w:rsid w:val="00A92664"/>
    <w:rsid w:val="00AF6A96"/>
    <w:rsid w:val="00B04217"/>
    <w:rsid w:val="00B10028"/>
    <w:rsid w:val="00B13C3D"/>
    <w:rsid w:val="00B21D82"/>
    <w:rsid w:val="00B26787"/>
    <w:rsid w:val="00B32E87"/>
    <w:rsid w:val="00B355FC"/>
    <w:rsid w:val="00B45493"/>
    <w:rsid w:val="00B47F7B"/>
    <w:rsid w:val="00B5308C"/>
    <w:rsid w:val="00B666AD"/>
    <w:rsid w:val="00B74102"/>
    <w:rsid w:val="00B81ED6"/>
    <w:rsid w:val="00B854BC"/>
    <w:rsid w:val="00BA2254"/>
    <w:rsid w:val="00BB3492"/>
    <w:rsid w:val="00BC0830"/>
    <w:rsid w:val="00BD623F"/>
    <w:rsid w:val="00BF0E1A"/>
    <w:rsid w:val="00C144D1"/>
    <w:rsid w:val="00C23FC1"/>
    <w:rsid w:val="00C3598F"/>
    <w:rsid w:val="00C43693"/>
    <w:rsid w:val="00C4700B"/>
    <w:rsid w:val="00C606CB"/>
    <w:rsid w:val="00C65AA0"/>
    <w:rsid w:val="00C75437"/>
    <w:rsid w:val="00C777EA"/>
    <w:rsid w:val="00C93274"/>
    <w:rsid w:val="00CB0F9A"/>
    <w:rsid w:val="00CB54FB"/>
    <w:rsid w:val="00CC3F3D"/>
    <w:rsid w:val="00CC739E"/>
    <w:rsid w:val="00CD0762"/>
    <w:rsid w:val="00CD6D96"/>
    <w:rsid w:val="00CE0879"/>
    <w:rsid w:val="00CF0E8D"/>
    <w:rsid w:val="00D31358"/>
    <w:rsid w:val="00D51323"/>
    <w:rsid w:val="00D74CF9"/>
    <w:rsid w:val="00D95F7C"/>
    <w:rsid w:val="00DA2206"/>
    <w:rsid w:val="00DB078D"/>
    <w:rsid w:val="00DE7F30"/>
    <w:rsid w:val="00DF348C"/>
    <w:rsid w:val="00E051C9"/>
    <w:rsid w:val="00E323AE"/>
    <w:rsid w:val="00E362A1"/>
    <w:rsid w:val="00E416AF"/>
    <w:rsid w:val="00E4503F"/>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065DD"/>
    <w:rsid w:val="00F30AF2"/>
    <w:rsid w:val="00F3789F"/>
    <w:rsid w:val="00F433B8"/>
    <w:rsid w:val="00F67708"/>
    <w:rsid w:val="00F91247"/>
    <w:rsid w:val="00FB0D81"/>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32AD5"/>
  <w15:docId w15:val="{438F36A7-A2B8-40DF-90C8-78735439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semiHidden/>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CC739E"/>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CC739E"/>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rabek\AppData\Roaming\Microsoft\Templates\LSQIN\LSQIN-WI%20-%20Layout%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Status xmlns="http://schemas.microsoft.com/sharepoint/v3/fields">Final</_Status>
    <State xmlns="e2c2d969-04b7-4b0f-a124-70685b69bfa3">All</State>
    <SharedWithUsers xmlns="e2c2d969-04b7-4b0f-a124-70685b69bfa3">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3" ma:contentTypeDescription="Create a new document." ma:contentTypeScope="" ma:versionID="cf2c41eb91b19b979347e75052127722">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363cd7c8c8ff098c712915b7efcc099d"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2.xml><?xml version="1.0" encoding="utf-8"?>
<ds:datastoreItem xmlns:ds="http://schemas.openxmlformats.org/officeDocument/2006/customXml" ds:itemID="{26358032-758C-443C-81A6-7D8F80557685}">
  <ds:schemaRefs>
    <ds:schemaRef ds:uri="http://schemas.microsoft.com/office/2006/metadata/properties"/>
    <ds:schemaRef ds:uri="http://schemas.microsoft.com/sharepoint/v3/fields"/>
    <ds:schemaRef ds:uri="e2c2d969-04b7-4b0f-a124-70685b69bfa3"/>
  </ds:schemaRefs>
</ds:datastoreItem>
</file>

<file path=customXml/itemProps3.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4.xml><?xml version="1.0" encoding="utf-8"?>
<ds:datastoreItem xmlns:ds="http://schemas.openxmlformats.org/officeDocument/2006/customXml" ds:itemID="{AD6AA857-D923-4332-BD86-4B8093F6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90EF5-F518-4F0C-8021-DE54A30D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LSQIN-WI - Layout Multi-Page</Template>
  <TotalTime>14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LSQIN Template Layout</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 Template Layout</dc:title>
  <dc:creator>Lydia Jerabek</dc:creator>
  <cp:lastModifiedBy> </cp:lastModifiedBy>
  <cp:revision>3</cp:revision>
  <cp:lastPrinted>2014-09-22T20:34:00Z</cp:lastPrinted>
  <dcterms:created xsi:type="dcterms:W3CDTF">2017-04-14T20:16:00Z</dcterms:created>
  <dcterms:modified xsi:type="dcterms:W3CDTF">2017-04-18T02:02:00Z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ies>
</file>