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5E" w:rsidRDefault="006E215D" w:rsidP="000B1767">
      <w:pPr>
        <w:pStyle w:val="Heading1"/>
        <w:jc w:val="center"/>
        <w:rPr>
          <w:bCs w:val="0"/>
          <w:color w:val="00539B"/>
          <w:kern w:val="28"/>
          <w:sz w:val="44"/>
          <w:szCs w:val="52"/>
        </w:rPr>
      </w:pPr>
      <w:r>
        <w:rPr>
          <w:bCs w:val="0"/>
          <w:color w:val="00539B"/>
          <w:kern w:val="28"/>
          <w:sz w:val="44"/>
          <w:szCs w:val="52"/>
        </w:rPr>
        <w:t>Strategies for Increasing Adult Immunization Rates</w:t>
      </w:r>
      <w:r w:rsidR="00F54CC8">
        <w:rPr>
          <w:bCs w:val="0"/>
          <w:color w:val="00539B"/>
          <w:kern w:val="28"/>
          <w:sz w:val="44"/>
          <w:szCs w:val="52"/>
        </w:rPr>
        <w:t xml:space="preserve"> Webinar</w:t>
      </w:r>
    </w:p>
    <w:p w:rsidR="00F54CC8" w:rsidRDefault="00F54CC8" w:rsidP="0009745E">
      <w:pPr>
        <w:jc w:val="center"/>
        <w:rPr>
          <w:rFonts w:ascii="Arial" w:eastAsiaTheme="majorEastAsia" w:hAnsi="Arial" w:cstheme="majorBidi"/>
          <w:b/>
          <w:bCs/>
          <w:color w:val="13B5EA"/>
          <w:sz w:val="28"/>
          <w:szCs w:val="27"/>
        </w:rPr>
      </w:pPr>
      <w:r>
        <w:rPr>
          <w:rFonts w:ascii="Arial" w:eastAsiaTheme="majorEastAsia" w:hAnsi="Arial" w:cstheme="majorBidi"/>
          <w:b/>
          <w:bCs/>
          <w:color w:val="13B5EA"/>
          <w:sz w:val="28"/>
          <w:szCs w:val="27"/>
        </w:rPr>
        <w:t>Wednesday, Nov. 11, 2015</w:t>
      </w:r>
    </w:p>
    <w:p w:rsidR="0009745E" w:rsidRDefault="00F54CC8" w:rsidP="00F54CC8">
      <w:pPr>
        <w:pStyle w:val="Heading2"/>
        <w:jc w:val="center"/>
      </w:pPr>
      <w:r>
        <w:t xml:space="preserve">Noon – 1 p.m. </w:t>
      </w:r>
      <w:proofErr w:type="gramStart"/>
      <w:r>
        <w:t>ET  |</w:t>
      </w:r>
      <w:proofErr w:type="gramEnd"/>
      <w:r>
        <w:t xml:space="preserve">  11 a.m. – noon CT</w:t>
      </w:r>
    </w:p>
    <w:p w:rsidR="0009745E" w:rsidRPr="00561FBE" w:rsidRDefault="0009745E" w:rsidP="0009745E">
      <w:pPr>
        <w:rPr>
          <w:rFonts w:ascii="Century Gothic" w:hAnsi="Century Gothic"/>
          <w:sz w:val="28"/>
        </w:rPr>
      </w:pPr>
    </w:p>
    <w:p w:rsidR="00875F8C" w:rsidRDefault="00C27B8D" w:rsidP="00CC300B">
      <w:pPr>
        <w:rPr>
          <w:rFonts w:eastAsia="Calibri"/>
          <w:bCs/>
          <w:color w:val="000000"/>
        </w:rPr>
      </w:pPr>
      <w:r w:rsidRPr="00C27B8D">
        <w:t>Pl</w:t>
      </w:r>
      <w:r w:rsidR="00875F8C">
        <w:t>ease join Lake Superior QIN</w:t>
      </w:r>
      <w:r w:rsidR="00907437">
        <w:t xml:space="preserve"> for a webinar on strategies for increasing adult immunization rates.</w:t>
      </w:r>
      <w:r w:rsidR="00875F8C">
        <w:t xml:space="preserve"> </w:t>
      </w:r>
      <w:r w:rsidR="00054EB6">
        <w:t>Upon completion</w:t>
      </w:r>
      <w:r w:rsidR="00801F35">
        <w:t xml:space="preserve"> of the event</w:t>
      </w:r>
      <w:r w:rsidR="00054EB6">
        <w:t>, p</w:t>
      </w:r>
      <w:r w:rsidR="00AE36C6">
        <w:t xml:space="preserve">articipants will be able to use </w:t>
      </w:r>
      <w:r w:rsidR="00875F8C" w:rsidRPr="00A03350">
        <w:rPr>
          <w:rFonts w:eastAsia="Calibri"/>
          <w:bCs/>
          <w:color w:val="000000"/>
        </w:rPr>
        <w:t>evidence-based best practices and standards of care for ensuring appropriate adult immunizations for influenza, pneumoco</w:t>
      </w:r>
      <w:r w:rsidR="001A533F">
        <w:rPr>
          <w:rFonts w:eastAsia="Calibri"/>
          <w:bCs/>
          <w:color w:val="000000"/>
        </w:rPr>
        <w:t>ccal disease and herpes zoster. Continuing education credits are available for</w:t>
      </w:r>
      <w:r w:rsidR="00744DD7">
        <w:rPr>
          <w:rFonts w:eastAsia="Calibri"/>
          <w:bCs/>
          <w:color w:val="000000"/>
        </w:rPr>
        <w:t xml:space="preserve"> physicians, registered nurses (R.N.) and medical assistants (M.A.). </w:t>
      </w:r>
    </w:p>
    <w:p w:rsidR="00C65EA8" w:rsidRDefault="00C65EA8" w:rsidP="00875F8C">
      <w:pPr>
        <w:rPr>
          <w:rFonts w:ascii="Arial" w:eastAsia="Calibri" w:hAnsi="Arial" w:cs="Arial"/>
          <w:bCs/>
          <w:color w:val="000000"/>
          <w:sz w:val="22"/>
          <w:szCs w:val="22"/>
        </w:rPr>
      </w:pPr>
    </w:p>
    <w:p w:rsidR="001E0277" w:rsidRDefault="001E0277" w:rsidP="00875F8C">
      <w:pPr>
        <w:rPr>
          <w:rFonts w:ascii="Arial" w:eastAsia="Calibri" w:hAnsi="Arial" w:cs="Arial"/>
          <w:bCs/>
          <w:color w:val="000000"/>
          <w:sz w:val="22"/>
          <w:szCs w:val="22"/>
        </w:rPr>
      </w:pPr>
    </w:p>
    <w:p w:rsidR="00390CD1" w:rsidRDefault="00A03350" w:rsidP="00F86E66">
      <w:pPr>
        <w:pStyle w:val="Heading1"/>
        <w:rPr>
          <w:rFonts w:eastAsia="Calibri"/>
        </w:rPr>
      </w:pPr>
      <w:r w:rsidRPr="00A03350">
        <w:rPr>
          <w:rFonts w:eastAsia="Calibri"/>
        </w:rPr>
        <w:t>Speaker</w:t>
      </w:r>
    </w:p>
    <w:p w:rsidR="00A03350" w:rsidRPr="007A12CE" w:rsidRDefault="00A03350" w:rsidP="00CC300B">
      <w:pPr>
        <w:pStyle w:val="ListParagraph"/>
        <w:numPr>
          <w:ilvl w:val="0"/>
          <w:numId w:val="21"/>
        </w:numPr>
      </w:pPr>
      <w:r w:rsidRPr="00390CD1">
        <w:t>Jay A. Gold, M</w:t>
      </w:r>
      <w:r w:rsidR="00390CD1">
        <w:t>.</w:t>
      </w:r>
      <w:r w:rsidRPr="00390CD1">
        <w:t>D</w:t>
      </w:r>
      <w:r w:rsidR="00390CD1">
        <w:t>.</w:t>
      </w:r>
      <w:r w:rsidRPr="00390CD1">
        <w:t>, J</w:t>
      </w:r>
      <w:r w:rsidR="00390CD1">
        <w:t>.</w:t>
      </w:r>
      <w:r w:rsidRPr="00390CD1">
        <w:t>D</w:t>
      </w:r>
      <w:r w:rsidR="00390CD1">
        <w:t>.</w:t>
      </w:r>
      <w:r w:rsidRPr="00390CD1">
        <w:t>, MPH</w:t>
      </w:r>
      <w:r w:rsidRPr="00CC300B">
        <w:rPr>
          <w:b/>
        </w:rPr>
        <w:t xml:space="preserve"> </w:t>
      </w:r>
    </w:p>
    <w:p w:rsidR="007A12CE" w:rsidRDefault="007A12CE" w:rsidP="007A12CE">
      <w:pPr>
        <w:rPr>
          <w:rFonts w:ascii="Arial" w:eastAsia="Calibri" w:hAnsi="Arial" w:cs="Arial"/>
          <w:bCs/>
          <w:color w:val="auto"/>
          <w:sz w:val="22"/>
          <w:szCs w:val="22"/>
        </w:rPr>
      </w:pPr>
    </w:p>
    <w:p w:rsidR="001E0277" w:rsidRDefault="001E0277" w:rsidP="007A12CE">
      <w:pPr>
        <w:rPr>
          <w:rFonts w:ascii="Arial" w:eastAsia="Calibri" w:hAnsi="Arial" w:cs="Arial"/>
          <w:bCs/>
          <w:color w:val="auto"/>
          <w:sz w:val="22"/>
          <w:szCs w:val="22"/>
        </w:rPr>
      </w:pPr>
    </w:p>
    <w:p w:rsidR="007A12CE" w:rsidRPr="00231631" w:rsidRDefault="007A12CE" w:rsidP="00F86E66">
      <w:pPr>
        <w:pStyle w:val="Heading1"/>
        <w:rPr>
          <w:rFonts w:eastAsia="Calibri"/>
        </w:rPr>
      </w:pPr>
      <w:r w:rsidRPr="00231631">
        <w:rPr>
          <w:rFonts w:eastAsia="Calibri"/>
        </w:rPr>
        <w:t>Objectives</w:t>
      </w:r>
    </w:p>
    <w:p w:rsidR="007A12CE" w:rsidRPr="00A03350" w:rsidRDefault="00231631" w:rsidP="00CC300B">
      <w:pPr>
        <w:rPr>
          <w:b/>
        </w:rPr>
      </w:pPr>
      <w:r>
        <w:t>F</w:t>
      </w:r>
      <w:r w:rsidR="007A12CE" w:rsidRPr="00A03350">
        <w:t>ollowing this webinar, participants will be better able to:</w:t>
      </w:r>
      <w:r w:rsidR="007A12CE" w:rsidRPr="00A03350">
        <w:rPr>
          <w:b/>
        </w:rPr>
        <w:t xml:space="preserve"> </w:t>
      </w:r>
    </w:p>
    <w:p w:rsidR="007A12CE" w:rsidRPr="00A57153" w:rsidRDefault="007A12CE" w:rsidP="00CC300B">
      <w:pPr>
        <w:pStyle w:val="ListParagraph"/>
        <w:numPr>
          <w:ilvl w:val="0"/>
          <w:numId w:val="21"/>
        </w:numPr>
      </w:pPr>
      <w:r w:rsidRPr="00A57153">
        <w:t>Discuss reasons why many adult patients for whom immunizations are indicated do not receive them</w:t>
      </w:r>
    </w:p>
    <w:p w:rsidR="007A12CE" w:rsidRPr="00A57153" w:rsidRDefault="007A12CE" w:rsidP="00CC300B">
      <w:pPr>
        <w:pStyle w:val="ListParagraph"/>
        <w:numPr>
          <w:ilvl w:val="0"/>
          <w:numId w:val="21"/>
        </w:numPr>
      </w:pPr>
      <w:r w:rsidRPr="00A57153">
        <w:t xml:space="preserve">Delineate effective methods that can be used to increase immunization rates in adult populations  </w:t>
      </w:r>
    </w:p>
    <w:p w:rsidR="007A12CE" w:rsidRPr="00A57153" w:rsidRDefault="007A12CE" w:rsidP="00CC300B">
      <w:pPr>
        <w:pStyle w:val="ListParagraph"/>
        <w:numPr>
          <w:ilvl w:val="0"/>
          <w:numId w:val="21"/>
        </w:numPr>
      </w:pPr>
      <w:r w:rsidRPr="00A57153">
        <w:t>Identify and respond to patient concerns that might keep patients from receiving immunizations</w:t>
      </w:r>
    </w:p>
    <w:p w:rsidR="007A12CE" w:rsidRDefault="007A12CE" w:rsidP="00CC300B">
      <w:pPr>
        <w:rPr>
          <w:rFonts w:eastAsia="Calibri"/>
          <w:bCs/>
        </w:rPr>
      </w:pPr>
    </w:p>
    <w:p w:rsidR="001E0277" w:rsidRPr="007A12CE" w:rsidRDefault="001E0277" w:rsidP="007A12CE">
      <w:pPr>
        <w:rPr>
          <w:rFonts w:ascii="Arial" w:eastAsia="Calibri" w:hAnsi="Arial" w:cs="Arial"/>
          <w:bCs/>
          <w:color w:val="auto"/>
          <w:sz w:val="22"/>
          <w:szCs w:val="22"/>
        </w:rPr>
      </w:pPr>
    </w:p>
    <w:p w:rsidR="00872D12" w:rsidRDefault="004D507D" w:rsidP="00F86E66">
      <w:pPr>
        <w:pStyle w:val="Heading1"/>
        <w:rPr>
          <w:rFonts w:eastAsia="Times New Roman"/>
        </w:rPr>
      </w:pPr>
      <w:r>
        <w:rPr>
          <w:rFonts w:eastAsia="Times New Roman"/>
        </w:rPr>
        <w:t>Audience</w:t>
      </w:r>
    </w:p>
    <w:p w:rsidR="00A03350" w:rsidRPr="00A03350" w:rsidRDefault="00A03350" w:rsidP="00CC300B">
      <w:pPr>
        <w:rPr>
          <w:b/>
        </w:rPr>
      </w:pPr>
      <w:r w:rsidRPr="00A03350">
        <w:rPr>
          <w:lang w:val="en"/>
        </w:rPr>
        <w:t>The webinar is designed for primary care physicians as well as nursing home administrator</w:t>
      </w:r>
      <w:r w:rsidR="008A1C8A">
        <w:rPr>
          <w:lang w:val="en"/>
        </w:rPr>
        <w:t>s, physician assistants, nurses</w:t>
      </w:r>
      <w:r w:rsidRPr="00A03350">
        <w:rPr>
          <w:lang w:val="en"/>
        </w:rPr>
        <w:t xml:space="preserve"> and nurse practitioners. All clinicians and allied health professionals with an interest in improving care related to the topic area are welcome to attend.  </w:t>
      </w:r>
    </w:p>
    <w:p w:rsidR="00A03350" w:rsidRDefault="00A03350" w:rsidP="00A03350">
      <w:pPr>
        <w:rPr>
          <w:rFonts w:ascii="Arial" w:eastAsia="Times New Roman" w:hAnsi="Arial" w:cs="Arial"/>
          <w:color w:val="FF0000"/>
          <w:sz w:val="22"/>
          <w:szCs w:val="22"/>
          <w:lang w:val="en"/>
        </w:rPr>
      </w:pPr>
      <w:r w:rsidRPr="00A03350">
        <w:rPr>
          <w:rFonts w:ascii="Arial" w:eastAsia="Times New Roman" w:hAnsi="Arial" w:cs="Arial"/>
          <w:color w:val="FF0000"/>
          <w:sz w:val="22"/>
          <w:szCs w:val="22"/>
          <w:lang w:val="en"/>
        </w:rPr>
        <w:t xml:space="preserve"> </w:t>
      </w:r>
    </w:p>
    <w:p w:rsidR="00E47B28" w:rsidRDefault="00E47B28" w:rsidP="00A03350">
      <w:pPr>
        <w:rPr>
          <w:rFonts w:ascii="Arial" w:eastAsia="Times New Roman" w:hAnsi="Arial" w:cs="Arial"/>
          <w:color w:val="FF0000"/>
          <w:sz w:val="22"/>
          <w:szCs w:val="22"/>
          <w:lang w:val="en"/>
        </w:rPr>
      </w:pPr>
    </w:p>
    <w:p w:rsidR="004C6066" w:rsidRPr="00227EFA" w:rsidRDefault="004C6066" w:rsidP="004C6066">
      <w:pPr>
        <w:pStyle w:val="Heading1"/>
        <w:rPr>
          <w:rFonts w:eastAsia="Calibri"/>
        </w:rPr>
      </w:pPr>
      <w:r w:rsidRPr="00227EFA">
        <w:rPr>
          <w:rFonts w:eastAsia="Calibri"/>
        </w:rPr>
        <w:t>Registration Instructions</w:t>
      </w:r>
    </w:p>
    <w:p w:rsidR="004C6066" w:rsidRPr="00981E72" w:rsidRDefault="00797E50" w:rsidP="00CC300B">
      <w:pPr>
        <w:pStyle w:val="ListParagraph"/>
        <w:numPr>
          <w:ilvl w:val="0"/>
          <w:numId w:val="22"/>
        </w:numPr>
      </w:pPr>
      <w:hyperlink r:id="rId13" w:history="1">
        <w:r w:rsidR="004C6066" w:rsidRPr="00CC300B">
          <w:rPr>
            <w:rStyle w:val="Hyperlink"/>
            <w:rFonts w:ascii="Arial" w:eastAsia="Calibri" w:hAnsi="Arial" w:cs="Arial"/>
            <w:b/>
            <w:bCs/>
            <w:sz w:val="22"/>
            <w:szCs w:val="22"/>
          </w:rPr>
          <w:t>Click here</w:t>
        </w:r>
      </w:hyperlink>
    </w:p>
    <w:p w:rsidR="004C6066" w:rsidRPr="00713E82" w:rsidRDefault="004C6066" w:rsidP="00CC300B">
      <w:pPr>
        <w:pStyle w:val="ListParagraph"/>
        <w:numPr>
          <w:ilvl w:val="0"/>
          <w:numId w:val="22"/>
        </w:numPr>
      </w:pPr>
      <w:r w:rsidRPr="00713E82">
        <w:t>Click on Register and enter your information</w:t>
      </w:r>
    </w:p>
    <w:p w:rsidR="004C6066" w:rsidRPr="00713E82" w:rsidRDefault="004C6066" w:rsidP="00CC300B">
      <w:pPr>
        <w:pStyle w:val="ListParagraph"/>
        <w:numPr>
          <w:ilvl w:val="0"/>
          <w:numId w:val="22"/>
        </w:numPr>
      </w:pPr>
      <w:r w:rsidRPr="00713E82">
        <w:t>Click Submit</w:t>
      </w:r>
    </w:p>
    <w:p w:rsidR="004C6066" w:rsidRPr="00713E82" w:rsidRDefault="004C6066" w:rsidP="00CC300B">
      <w:pPr>
        <w:pStyle w:val="ListParagraph"/>
        <w:numPr>
          <w:ilvl w:val="0"/>
          <w:numId w:val="22"/>
        </w:numPr>
      </w:pPr>
      <w:r w:rsidRPr="00713E82">
        <w:t>Once approved, you will receive a confirmation email with the meeting information and the registration ID that will be used to log into the WebEx portion of the meeting. Please note</w:t>
      </w:r>
      <w:proofErr w:type="gramStart"/>
      <w:r w:rsidRPr="00713E82">
        <w:t>,</w:t>
      </w:r>
      <w:proofErr w:type="gramEnd"/>
      <w:r w:rsidRPr="00713E82">
        <w:t xml:space="preserve"> this email may go to your spam or junk folder. It will come from the email address </w:t>
      </w:r>
      <w:hyperlink r:id="rId14" w:history="1">
        <w:r w:rsidRPr="00CC300B">
          <w:rPr>
            <w:rStyle w:val="Hyperlink"/>
            <w:rFonts w:ascii="Arial" w:eastAsia="Calibri" w:hAnsi="Arial" w:cs="Arial"/>
            <w:b/>
            <w:bCs/>
            <w:sz w:val="22"/>
            <w:szCs w:val="22"/>
          </w:rPr>
          <w:t>messenger@webex.com</w:t>
        </w:r>
      </w:hyperlink>
      <w:r w:rsidRPr="00713E82">
        <w:t>.</w:t>
      </w:r>
    </w:p>
    <w:p w:rsidR="001E0277" w:rsidRDefault="001E0277" w:rsidP="00A03350">
      <w:pPr>
        <w:rPr>
          <w:rFonts w:ascii="Arial" w:eastAsia="Calibri" w:hAnsi="Arial" w:cs="Arial"/>
          <w:bCs/>
          <w:color w:val="000000"/>
          <w:sz w:val="22"/>
          <w:szCs w:val="22"/>
        </w:rPr>
      </w:pPr>
    </w:p>
    <w:p w:rsidR="001E0277" w:rsidRDefault="001E0277" w:rsidP="00614832">
      <w:pPr>
        <w:pStyle w:val="Heading1"/>
        <w:rPr>
          <w:rFonts w:eastAsia="Calibri"/>
        </w:rPr>
      </w:pPr>
      <w:r>
        <w:rPr>
          <w:rFonts w:eastAsia="Calibri"/>
        </w:rPr>
        <w:lastRenderedPageBreak/>
        <w:t>Continuing Education</w:t>
      </w:r>
    </w:p>
    <w:p w:rsidR="00ED65C5" w:rsidRPr="00ED65C5" w:rsidRDefault="00ED65C5" w:rsidP="004B4D5C">
      <w:pPr>
        <w:pStyle w:val="Heading2"/>
        <w:rPr>
          <w:rFonts w:eastAsia="Calibri"/>
        </w:rPr>
      </w:pPr>
      <w:r w:rsidRPr="00ED65C5">
        <w:rPr>
          <w:rFonts w:eastAsia="Calibri"/>
        </w:rPr>
        <w:t>Importa</w:t>
      </w:r>
      <w:r w:rsidR="00710BE1">
        <w:rPr>
          <w:rFonts w:eastAsia="Calibri"/>
        </w:rPr>
        <w:t>nt note on educational credits:</w:t>
      </w:r>
    </w:p>
    <w:p w:rsidR="002654DA" w:rsidRDefault="00ED65C5" w:rsidP="004B4D5C">
      <w:r w:rsidRPr="00ED65C5">
        <w:t>Educational credits are only available for attendance at the live webinar, not for accessing information online after the event. You must complete the on-line “CE evaluation” for educational credit or certificate of attendance.</w:t>
      </w:r>
    </w:p>
    <w:p w:rsidR="00ED65C5" w:rsidRPr="00ED65C5" w:rsidRDefault="00ED65C5" w:rsidP="004B4D5C">
      <w:r w:rsidRPr="00ED65C5">
        <w:t xml:space="preserve"> </w:t>
      </w:r>
    </w:p>
    <w:p w:rsidR="00ED65C5" w:rsidRPr="00ED65C5" w:rsidRDefault="00ED65C5" w:rsidP="004B4D5C">
      <w:r w:rsidRPr="004B4D5C">
        <w:rPr>
          <w:rStyle w:val="Heading2Char"/>
        </w:rPr>
        <w:t>LINK TO CE EVALUATION</w:t>
      </w:r>
      <w:r w:rsidRPr="00ED65C5">
        <w:t xml:space="preserve">: </w:t>
      </w:r>
      <w:hyperlink r:id="rId15" w:history="1">
        <w:r w:rsidRPr="00981E72">
          <w:rPr>
            <w:rStyle w:val="Hyperlink"/>
            <w:rFonts w:ascii="Arial" w:eastAsia="Calibri" w:hAnsi="Arial" w:cs="Arial"/>
            <w:b/>
            <w:bCs/>
            <w:sz w:val="22"/>
            <w:szCs w:val="22"/>
          </w:rPr>
          <w:t>https://www.surveygizmo.com/s3/2357132/11-11-15-Immunization</w:t>
        </w:r>
      </w:hyperlink>
    </w:p>
    <w:p w:rsidR="00E50C16" w:rsidRDefault="00E50C16" w:rsidP="004B4D5C"/>
    <w:p w:rsidR="00ED65C5" w:rsidRPr="00ED65C5" w:rsidRDefault="00710BE1" w:rsidP="004B4D5C">
      <w:pPr>
        <w:pStyle w:val="Heading2"/>
        <w:rPr>
          <w:rFonts w:eastAsia="Calibri"/>
        </w:rPr>
      </w:pPr>
      <w:r>
        <w:rPr>
          <w:rFonts w:eastAsia="Calibri"/>
        </w:rPr>
        <w:t>Content l</w:t>
      </w:r>
      <w:r w:rsidR="00ED65C5" w:rsidRPr="00ED65C5">
        <w:rPr>
          <w:rFonts w:eastAsia="Calibri"/>
        </w:rPr>
        <w:t xml:space="preserve">earning </w:t>
      </w:r>
      <w:r>
        <w:rPr>
          <w:rFonts w:eastAsia="Calibri"/>
        </w:rPr>
        <w:t>needs</w:t>
      </w:r>
      <w:r w:rsidR="008D22C1">
        <w:rPr>
          <w:rFonts w:eastAsia="Calibri"/>
        </w:rPr>
        <w:t>:</w:t>
      </w:r>
    </w:p>
    <w:p w:rsidR="00ED65C5" w:rsidRPr="00ED65C5" w:rsidRDefault="00ED65C5" w:rsidP="004B4D5C">
      <w:r w:rsidRPr="00ED65C5">
        <w:t xml:space="preserve">To indicate your learning needs or specific questions for the speaker to address </w:t>
      </w:r>
      <w:r w:rsidR="000D2F18">
        <w:t>please e</w:t>
      </w:r>
      <w:r w:rsidRPr="00ED65C5">
        <w:t>mail</w:t>
      </w:r>
      <w:r w:rsidR="001368C3">
        <w:t>:</w:t>
      </w:r>
      <w:r w:rsidRPr="00ED65C5">
        <w:t xml:space="preserve"> </w:t>
      </w:r>
      <w:hyperlink r:id="rId16" w:history="1">
        <w:r w:rsidRPr="00D10215">
          <w:rPr>
            <w:rStyle w:val="Hyperlink"/>
            <w:rFonts w:ascii="Arial" w:eastAsia="Calibri" w:hAnsi="Arial" w:cs="Arial"/>
            <w:b/>
            <w:bCs/>
            <w:sz w:val="22"/>
            <w:szCs w:val="22"/>
          </w:rPr>
          <w:t>continuing-ed@metastar.com</w:t>
        </w:r>
      </w:hyperlink>
      <w:r w:rsidRPr="00D10215">
        <w:t>.</w:t>
      </w:r>
      <w:hyperlink r:id="rId17" w:history="1"/>
    </w:p>
    <w:p w:rsidR="00ED65C5" w:rsidRPr="00ED65C5" w:rsidRDefault="00ED65C5" w:rsidP="004B4D5C"/>
    <w:p w:rsidR="00ED65C5" w:rsidRPr="00ED65C5" w:rsidRDefault="00710BE1" w:rsidP="004B4D5C">
      <w:pPr>
        <w:pStyle w:val="Heading2"/>
        <w:rPr>
          <w:rFonts w:eastAsia="Calibri"/>
        </w:rPr>
      </w:pPr>
      <w:r>
        <w:rPr>
          <w:rFonts w:eastAsia="Calibri"/>
        </w:rPr>
        <w:t>Special needs</w:t>
      </w:r>
      <w:r w:rsidR="008D22C1">
        <w:rPr>
          <w:rFonts w:eastAsia="Calibri"/>
        </w:rPr>
        <w:t>:</w:t>
      </w:r>
    </w:p>
    <w:p w:rsidR="00ED65C5" w:rsidRPr="00ED65C5" w:rsidRDefault="00ED65C5" w:rsidP="004B4D5C">
      <w:r w:rsidRPr="00ED65C5">
        <w:t>If you have needs under the Americans with Disabilities Act, please email</w:t>
      </w:r>
      <w:r w:rsidR="001368C3">
        <w:t>:</w:t>
      </w:r>
      <w:r w:rsidRPr="00ED65C5">
        <w:t xml:space="preserve"> </w:t>
      </w:r>
      <w:hyperlink r:id="rId18" w:history="1">
        <w:r w:rsidRPr="00D10215">
          <w:rPr>
            <w:rStyle w:val="Hyperlink"/>
            <w:rFonts w:ascii="Arial" w:eastAsia="Calibri" w:hAnsi="Arial" w:cs="Arial"/>
            <w:b/>
            <w:bCs/>
            <w:sz w:val="22"/>
            <w:szCs w:val="22"/>
          </w:rPr>
          <w:t>continuing-ed@metastar.com</w:t>
        </w:r>
      </w:hyperlink>
      <w:r w:rsidRPr="00ED65C5">
        <w:t>.</w:t>
      </w:r>
      <w:hyperlink r:id="rId19" w:history="1"/>
      <w:r w:rsidRPr="00ED65C5">
        <w:t xml:space="preserve"> </w:t>
      </w:r>
    </w:p>
    <w:p w:rsidR="00ED65C5" w:rsidRPr="00ED65C5" w:rsidRDefault="00ED65C5" w:rsidP="004B4D5C">
      <w:pPr>
        <w:pStyle w:val="Heading2"/>
        <w:rPr>
          <w:rFonts w:eastAsia="Calibri"/>
        </w:rPr>
      </w:pPr>
    </w:p>
    <w:p w:rsidR="00ED65C5" w:rsidRPr="00ED65C5" w:rsidRDefault="00710BE1" w:rsidP="004B4D5C">
      <w:pPr>
        <w:pStyle w:val="Heading2"/>
        <w:rPr>
          <w:rFonts w:eastAsia="Calibri"/>
        </w:rPr>
      </w:pPr>
      <w:r>
        <w:rPr>
          <w:rFonts w:eastAsia="Calibri"/>
        </w:rPr>
        <w:t>Planning team</w:t>
      </w:r>
      <w:r w:rsidR="008D22C1">
        <w:rPr>
          <w:rFonts w:eastAsia="Calibri"/>
        </w:rPr>
        <w:t>:</w:t>
      </w:r>
      <w:r w:rsidR="00ED65C5" w:rsidRPr="00ED65C5">
        <w:rPr>
          <w:rFonts w:eastAsia="Calibri"/>
        </w:rPr>
        <w:t xml:space="preserve"> </w:t>
      </w:r>
    </w:p>
    <w:p w:rsidR="00ED65C5" w:rsidRPr="00ED65C5" w:rsidRDefault="00ED65C5" w:rsidP="004B4D5C">
      <w:r w:rsidRPr="00ED65C5">
        <w:t xml:space="preserve">Mary Kay Scheller, RN, MS, CHCP, Continuing Education Program Director, MetaStar </w:t>
      </w:r>
    </w:p>
    <w:p w:rsidR="00ED65C5" w:rsidRPr="00ED65C5" w:rsidRDefault="00ED65C5" w:rsidP="004B4D5C">
      <w:r w:rsidRPr="00ED65C5">
        <w:t>Melissa Ottinger, Clinical Application Coordinator, MPRO</w:t>
      </w:r>
    </w:p>
    <w:p w:rsidR="00755F4A" w:rsidRPr="00EE52FE" w:rsidRDefault="00755F4A" w:rsidP="004B4D5C"/>
    <w:p w:rsidR="00755F4A" w:rsidRPr="00EE52FE" w:rsidRDefault="00755F4A" w:rsidP="00EE52FE">
      <w:pPr>
        <w:rPr>
          <w:rFonts w:ascii="Arial" w:eastAsia="Calibri" w:hAnsi="Arial" w:cs="Arial"/>
          <w:bCs/>
          <w:color w:val="000000"/>
          <w:sz w:val="22"/>
          <w:szCs w:val="22"/>
        </w:rPr>
      </w:pPr>
    </w:p>
    <w:p w:rsidR="00ED65C5" w:rsidRPr="00ED65C5" w:rsidRDefault="00ED65C5" w:rsidP="009C3A1B">
      <w:pPr>
        <w:pStyle w:val="Heading1"/>
        <w:rPr>
          <w:rFonts w:eastAsia="Calibri"/>
        </w:rPr>
      </w:pPr>
      <w:r w:rsidRPr="00ED65C5">
        <w:rPr>
          <w:rFonts w:eastAsia="Calibri"/>
        </w:rPr>
        <w:t>Continuing Education Credits</w:t>
      </w:r>
    </w:p>
    <w:p w:rsidR="00ED65C5" w:rsidRPr="00613D6A" w:rsidRDefault="00725A76" w:rsidP="00ED65C5">
      <w:pPr>
        <w:rPr>
          <w:rFonts w:ascii="Arial" w:eastAsia="Calibri" w:hAnsi="Arial" w:cs="Arial"/>
          <w:b/>
          <w:bCs/>
          <w:color w:val="0070C0"/>
          <w:szCs w:val="22"/>
        </w:rPr>
      </w:pPr>
      <w:r>
        <w:rPr>
          <w:rFonts w:ascii="Arial" w:eastAsia="Calibri" w:hAnsi="Arial" w:cs="Arial"/>
          <w:b/>
          <w:bCs/>
          <w:color w:val="0070C0"/>
          <w:szCs w:val="22"/>
        </w:rPr>
        <w:t>PHYSICIANS</w:t>
      </w:r>
    </w:p>
    <w:p w:rsidR="00ED65C5" w:rsidRPr="00ED65C5" w:rsidRDefault="00ED65C5" w:rsidP="00CE3255">
      <w:r w:rsidRPr="00ED65C5">
        <w:t>This activity has been planned and implemented in accordance with the accreditation requirements and policies of the Wisconsin Medical Society through the joint providership of MetaStar, Inc., MPRO and Stratis Health. MetaStar, Inc. is accredited by the Wisconsin Medical Society to provide continuing medical education for physicians.</w:t>
      </w:r>
    </w:p>
    <w:p w:rsidR="00ED65C5" w:rsidRPr="00ED65C5" w:rsidRDefault="00ED65C5" w:rsidP="00CE3255"/>
    <w:p w:rsidR="00ED65C5" w:rsidRPr="00ED65C5" w:rsidRDefault="00ED65C5" w:rsidP="00CE3255">
      <w:r w:rsidRPr="00ED65C5">
        <w:t xml:space="preserve">MetaStar, Inc. designates this live activity for a maximum of 1.0 </w:t>
      </w:r>
      <w:r w:rsidRPr="00ED65C5">
        <w:rPr>
          <w:i/>
          <w:iCs/>
        </w:rPr>
        <w:t>AMA PRA Category 1 Credit</w:t>
      </w:r>
      <w:r w:rsidRPr="00ED65C5">
        <w:rPr>
          <w:vertAlign w:val="superscript"/>
        </w:rPr>
        <w:t>TM</w:t>
      </w:r>
      <w:r w:rsidRPr="00ED65C5">
        <w:t xml:space="preserve">. Physicians should claim only the credit commensurate with the extent of their participation in the activity. </w:t>
      </w:r>
    </w:p>
    <w:p w:rsidR="00ED65C5" w:rsidRPr="00ED65C5" w:rsidRDefault="00ED65C5" w:rsidP="00ED65C5">
      <w:pPr>
        <w:rPr>
          <w:rFonts w:ascii="Arial" w:eastAsia="Calibri" w:hAnsi="Arial" w:cs="Arial"/>
          <w:b/>
          <w:bCs/>
          <w:color w:val="000000"/>
          <w:sz w:val="22"/>
          <w:szCs w:val="22"/>
        </w:rPr>
      </w:pPr>
    </w:p>
    <w:p w:rsidR="00BD1905" w:rsidRDefault="00BD1905" w:rsidP="00ED65C5">
      <w:pPr>
        <w:rPr>
          <w:rFonts w:ascii="Arial" w:eastAsia="Calibri" w:hAnsi="Arial" w:cs="Arial"/>
          <w:b/>
          <w:bCs/>
          <w:color w:val="0070C0"/>
          <w:szCs w:val="22"/>
        </w:rPr>
      </w:pPr>
    </w:p>
    <w:p w:rsidR="00ED65C5" w:rsidRPr="00ED65C5" w:rsidRDefault="00725A76" w:rsidP="00ED65C5">
      <w:pPr>
        <w:rPr>
          <w:rFonts w:ascii="Arial" w:eastAsia="Calibri" w:hAnsi="Arial" w:cs="Arial"/>
          <w:bCs/>
          <w:color w:val="000000"/>
          <w:sz w:val="22"/>
          <w:szCs w:val="22"/>
        </w:rPr>
      </w:pPr>
      <w:r>
        <w:rPr>
          <w:rFonts w:ascii="Arial" w:eastAsia="Calibri" w:hAnsi="Arial" w:cs="Arial"/>
          <w:b/>
          <w:bCs/>
          <w:color w:val="0070C0"/>
          <w:szCs w:val="22"/>
        </w:rPr>
        <w:t>REGISTERED NURSES</w:t>
      </w:r>
      <w:r w:rsidR="00ED65C5" w:rsidRPr="00613D6A">
        <w:rPr>
          <w:rFonts w:ascii="Arial" w:eastAsia="Calibri" w:hAnsi="Arial" w:cs="Arial"/>
          <w:b/>
          <w:bCs/>
          <w:color w:val="0070C0"/>
          <w:szCs w:val="22"/>
        </w:rPr>
        <w:t xml:space="preserve"> – Wisconsin and Michigan:</w:t>
      </w:r>
    </w:p>
    <w:p w:rsidR="00ED65C5" w:rsidRPr="00ED65C5" w:rsidRDefault="00ED65C5" w:rsidP="00CE3255">
      <w:r w:rsidRPr="00ED65C5">
        <w:t>MetaStar, Inc. is an approved provider of continuing nursing education by the Wisconsin Nurses Association, an accredited approver by the American Nurses Credentialing Center’s Commission on Accreditation.</w:t>
      </w:r>
    </w:p>
    <w:p w:rsidR="00ED65C5" w:rsidRPr="00ED65C5" w:rsidRDefault="00ED65C5" w:rsidP="00CE3255"/>
    <w:p w:rsidR="00ED65C5" w:rsidRPr="00ED65C5" w:rsidRDefault="00ED65C5" w:rsidP="00CE3255">
      <w:r w:rsidRPr="00ED65C5">
        <w:t xml:space="preserve">1.0 contact hour will be awarded for successful completion. </w:t>
      </w:r>
    </w:p>
    <w:p w:rsidR="00ED65C5" w:rsidRDefault="00ED65C5" w:rsidP="00ED65C5">
      <w:pPr>
        <w:rPr>
          <w:rFonts w:ascii="Arial" w:eastAsia="Calibri" w:hAnsi="Arial" w:cs="Arial"/>
          <w:bCs/>
          <w:color w:val="000000"/>
          <w:sz w:val="22"/>
          <w:szCs w:val="22"/>
        </w:rPr>
      </w:pPr>
    </w:p>
    <w:p w:rsidR="00BD1905" w:rsidRPr="00ED65C5" w:rsidRDefault="00BD1905" w:rsidP="00ED65C5">
      <w:pPr>
        <w:rPr>
          <w:rFonts w:ascii="Arial" w:eastAsia="Calibri" w:hAnsi="Arial" w:cs="Arial"/>
          <w:bCs/>
          <w:color w:val="000000"/>
          <w:sz w:val="22"/>
          <w:szCs w:val="22"/>
        </w:rPr>
      </w:pPr>
    </w:p>
    <w:p w:rsidR="00ED65C5" w:rsidRPr="00613D6A" w:rsidRDefault="00725A76" w:rsidP="00ED65C5">
      <w:pPr>
        <w:rPr>
          <w:rFonts w:ascii="Arial" w:eastAsia="Calibri" w:hAnsi="Arial" w:cs="Arial"/>
          <w:b/>
          <w:bCs/>
          <w:color w:val="0070C0"/>
          <w:szCs w:val="22"/>
        </w:rPr>
      </w:pPr>
      <w:r>
        <w:rPr>
          <w:rFonts w:ascii="Arial" w:eastAsia="Calibri" w:hAnsi="Arial" w:cs="Arial"/>
          <w:b/>
          <w:bCs/>
          <w:color w:val="0070C0"/>
          <w:szCs w:val="22"/>
        </w:rPr>
        <w:t>REGISTERED NURSES</w:t>
      </w:r>
      <w:r w:rsidR="00ED65C5" w:rsidRPr="00613D6A">
        <w:rPr>
          <w:rFonts w:ascii="Arial" w:eastAsia="Calibri" w:hAnsi="Arial" w:cs="Arial"/>
          <w:b/>
          <w:bCs/>
          <w:color w:val="0070C0"/>
          <w:szCs w:val="22"/>
        </w:rPr>
        <w:t xml:space="preserve"> – Minnesota:</w:t>
      </w:r>
    </w:p>
    <w:p w:rsidR="00ED65C5" w:rsidRPr="00ED65C5" w:rsidRDefault="00ED65C5" w:rsidP="00CE3255">
      <w:r w:rsidRPr="00ED65C5">
        <w:lastRenderedPageBreak/>
        <w:t xml:space="preserve">This program for 1.2 contact hours has been designed to meet the Minnesota Board of Nursing continuing education requirements. However, the nurse is responsible for determining whether these activities meet the requirements for acceptable continuing education. </w:t>
      </w:r>
    </w:p>
    <w:p w:rsidR="00ED65C5" w:rsidRPr="00ED65C5" w:rsidRDefault="00ED65C5" w:rsidP="00CE3255">
      <w:pPr>
        <w:rPr>
          <w:b/>
        </w:rPr>
      </w:pPr>
    </w:p>
    <w:p w:rsidR="00ED65C5" w:rsidRPr="00ED65C5" w:rsidRDefault="00ED65C5" w:rsidP="00CE3255">
      <w:r w:rsidRPr="00ED65C5">
        <w:t>MetaStar is the approved provider of nursing contact hours in a joint planning agreement with MPRO and Stratis Health.</w:t>
      </w:r>
    </w:p>
    <w:p w:rsidR="00ED65C5" w:rsidRPr="00ED65C5" w:rsidRDefault="00ED65C5" w:rsidP="00ED65C5">
      <w:pPr>
        <w:rPr>
          <w:rFonts w:ascii="Arial" w:eastAsia="Calibri" w:hAnsi="Arial" w:cs="Arial"/>
          <w:b/>
          <w:bCs/>
          <w:color w:val="000000"/>
          <w:sz w:val="22"/>
          <w:szCs w:val="22"/>
        </w:rPr>
      </w:pPr>
      <w:bookmarkStart w:id="0" w:name="_GoBack"/>
      <w:bookmarkEnd w:id="0"/>
    </w:p>
    <w:p w:rsidR="00BD1905" w:rsidRDefault="00BD1905" w:rsidP="00ED65C5">
      <w:pPr>
        <w:rPr>
          <w:rFonts w:ascii="Arial" w:eastAsia="Calibri" w:hAnsi="Arial" w:cs="Arial"/>
          <w:b/>
          <w:bCs/>
          <w:color w:val="0070C0"/>
          <w:szCs w:val="22"/>
        </w:rPr>
      </w:pPr>
    </w:p>
    <w:p w:rsidR="00ED65C5" w:rsidRPr="00613D6A" w:rsidRDefault="00725A76" w:rsidP="00ED65C5">
      <w:pPr>
        <w:rPr>
          <w:rFonts w:ascii="Arial" w:eastAsia="Calibri" w:hAnsi="Arial" w:cs="Arial"/>
          <w:b/>
          <w:bCs/>
          <w:color w:val="0070C0"/>
          <w:szCs w:val="22"/>
        </w:rPr>
      </w:pPr>
      <w:r>
        <w:rPr>
          <w:rFonts w:ascii="Arial" w:eastAsia="Calibri" w:hAnsi="Arial" w:cs="Arial"/>
          <w:b/>
          <w:bCs/>
          <w:color w:val="0070C0"/>
          <w:szCs w:val="22"/>
        </w:rPr>
        <w:t>MEDICAL ASSISTANTS</w:t>
      </w:r>
    </w:p>
    <w:p w:rsidR="00ED65C5" w:rsidRPr="00E10A76" w:rsidRDefault="00E10A76" w:rsidP="00CC300B">
      <w:r w:rsidRPr="00E10A76">
        <w:t>This program has been granted prior approval by the American Association of Medical Assistants (AAMA) for 1 clinical/general continuing education unit(s). Granting approval in no way constitutes endorsement by the AAMA of the program content or the program provider.</w:t>
      </w:r>
    </w:p>
    <w:p w:rsidR="00ED65C5" w:rsidRPr="00ED65C5" w:rsidRDefault="00ED65C5" w:rsidP="00ED65C5">
      <w:pPr>
        <w:rPr>
          <w:rFonts w:ascii="Arial" w:eastAsia="Calibri" w:hAnsi="Arial" w:cs="Arial"/>
          <w:b/>
          <w:bCs/>
          <w:color w:val="000000"/>
          <w:sz w:val="22"/>
          <w:szCs w:val="22"/>
        </w:rPr>
      </w:pPr>
    </w:p>
    <w:p w:rsidR="00097D7B" w:rsidRDefault="00097D7B" w:rsidP="00CE3255"/>
    <w:p w:rsidR="00ED65C5" w:rsidRPr="00ED65C5" w:rsidRDefault="00ED65C5" w:rsidP="000F6C2D">
      <w:pPr>
        <w:pStyle w:val="Heading2"/>
        <w:rPr>
          <w:rFonts w:eastAsia="Calibri"/>
        </w:rPr>
      </w:pPr>
      <w:r w:rsidRPr="00ED65C5">
        <w:rPr>
          <w:rFonts w:eastAsia="Calibri"/>
        </w:rPr>
        <w:t>Continuing Education Disclosures</w:t>
      </w:r>
    </w:p>
    <w:p w:rsidR="00ED65C5" w:rsidRPr="00ED65C5" w:rsidRDefault="00ED65C5" w:rsidP="00CE3255"/>
    <w:p w:rsidR="00ED65C5" w:rsidRPr="00ED65C5" w:rsidRDefault="00ED65C5" w:rsidP="00CE3255">
      <w:r w:rsidRPr="00ED65C5">
        <w:t xml:space="preserve">Notice of requirements for successful completion - Participants must complete an on-line evaluation with attendance attestation to obtain educational credit or a certificate of attendance. Full session attendance is required for educational credit. </w:t>
      </w:r>
    </w:p>
    <w:p w:rsidR="00ED65C5" w:rsidRPr="00ED65C5" w:rsidRDefault="00ED65C5" w:rsidP="00CE3255"/>
    <w:p w:rsidR="00ED65C5" w:rsidRPr="00ED65C5" w:rsidRDefault="00ED65C5" w:rsidP="00CE3255">
      <w:r w:rsidRPr="000F6C2D">
        <w:rPr>
          <w:rStyle w:val="Heading2Char"/>
        </w:rPr>
        <w:t>Disclosure of relevant financial relationships / conflicts of interest</w:t>
      </w:r>
      <w:r w:rsidRPr="00ED65C5">
        <w:t xml:space="preserve"> – Dr. Gold has disclosed no relevant financial relationships. The activity planners have no relevant relationships to disclose. </w:t>
      </w:r>
    </w:p>
    <w:p w:rsidR="00ED65C5" w:rsidRPr="00ED65C5" w:rsidRDefault="00ED65C5" w:rsidP="00CE3255"/>
    <w:p w:rsidR="00ED65C5" w:rsidRPr="00ED65C5" w:rsidRDefault="00ED65C5" w:rsidP="00CE3255">
      <w:r w:rsidRPr="000F6C2D">
        <w:rPr>
          <w:rStyle w:val="Heading2Char"/>
        </w:rPr>
        <w:t>Commercial support</w:t>
      </w:r>
      <w:r w:rsidRPr="00ED65C5">
        <w:t xml:space="preserve"> – There is no commercial support for this activity. </w:t>
      </w:r>
    </w:p>
    <w:p w:rsidR="00ED65C5" w:rsidRPr="00ED65C5" w:rsidRDefault="00ED65C5" w:rsidP="00CE3255"/>
    <w:p w:rsidR="00ED65C5" w:rsidRPr="00ED65C5" w:rsidRDefault="00ED65C5" w:rsidP="00CE3255">
      <w:r w:rsidRPr="000F6C2D">
        <w:rPr>
          <w:rStyle w:val="Heading2Char"/>
        </w:rPr>
        <w:t>Off-label use</w:t>
      </w:r>
      <w:r w:rsidRPr="00ED65C5">
        <w:t xml:space="preserve"> – If reference is made during this educational activity to use of a product (medication or device) other than that for which it was approved by the Food and Drug Administration, the speaker will announce this at the time of the presentation. </w:t>
      </w:r>
    </w:p>
    <w:p w:rsidR="00ED65C5" w:rsidRPr="00ED65C5" w:rsidRDefault="00ED65C5" w:rsidP="00CE3255"/>
    <w:p w:rsidR="00ED65C5" w:rsidRPr="00ED65C5" w:rsidRDefault="002D6F2A" w:rsidP="00CE3255">
      <w:r w:rsidRPr="000F6C2D">
        <w:rPr>
          <w:rStyle w:val="Heading2Char"/>
        </w:rPr>
        <w:t>Registration f</w:t>
      </w:r>
      <w:r w:rsidR="00ED65C5" w:rsidRPr="000F6C2D">
        <w:rPr>
          <w:rStyle w:val="Heading2Char"/>
        </w:rPr>
        <w:t xml:space="preserve">ees and </w:t>
      </w:r>
      <w:r w:rsidRPr="000F6C2D">
        <w:rPr>
          <w:rStyle w:val="Heading2Char"/>
        </w:rPr>
        <w:t>r</w:t>
      </w:r>
      <w:r w:rsidR="00ED65C5" w:rsidRPr="000F6C2D">
        <w:rPr>
          <w:rStyle w:val="Heading2Char"/>
        </w:rPr>
        <w:t xml:space="preserve">efund </w:t>
      </w:r>
      <w:r w:rsidRPr="000F6C2D">
        <w:rPr>
          <w:rStyle w:val="Heading2Char"/>
        </w:rPr>
        <w:t>p</w:t>
      </w:r>
      <w:r w:rsidR="00ED65C5" w:rsidRPr="000F6C2D">
        <w:rPr>
          <w:rStyle w:val="Heading2Char"/>
        </w:rPr>
        <w:t>olicy:</w:t>
      </w:r>
      <w:r w:rsidR="00ED65C5" w:rsidRPr="00ED65C5">
        <w:t xml:space="preserve"> There is no cost for this webinar.</w:t>
      </w:r>
    </w:p>
    <w:p w:rsidR="001E0277" w:rsidRPr="001E0277" w:rsidRDefault="001E0277" w:rsidP="00A03350">
      <w:pPr>
        <w:rPr>
          <w:rFonts w:ascii="Arial" w:eastAsia="Calibri" w:hAnsi="Arial" w:cs="Arial"/>
          <w:bCs/>
          <w:color w:val="000000"/>
          <w:sz w:val="22"/>
          <w:szCs w:val="22"/>
        </w:rPr>
      </w:pPr>
    </w:p>
    <w:sectPr w:rsidR="001E0277" w:rsidRPr="001E0277" w:rsidSect="0081712F">
      <w:headerReference w:type="default" r:id="rId20"/>
      <w:footerReference w:type="default" r:id="rId21"/>
      <w:pgSz w:w="12240" w:h="15840"/>
      <w:pgMar w:top="720" w:right="900" w:bottom="720" w:left="900" w:header="1627"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08" w:rsidRDefault="00A34F08" w:rsidP="00F91247">
      <w:r>
        <w:separator/>
      </w:r>
    </w:p>
  </w:endnote>
  <w:endnote w:type="continuationSeparator" w:id="0">
    <w:p w:rsidR="00A34F08" w:rsidRDefault="00A34F08"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2F" w:rsidRDefault="0081712F" w:rsidP="0081712F">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14:anchorId="34C61B7C" wp14:editId="2F192935">
          <wp:simplePos x="0" y="0"/>
          <wp:positionH relativeFrom="column">
            <wp:posOffset>-344385</wp:posOffset>
          </wp:positionH>
          <wp:positionV relativeFrom="paragraph">
            <wp:posOffset>133730</wp:posOffset>
          </wp:positionV>
          <wp:extent cx="7315200" cy="91440"/>
          <wp:effectExtent l="0" t="0" r="0" b="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12F" w:rsidRDefault="0081712F" w:rsidP="0081712F">
    <w:pPr>
      <w:pStyle w:val="BasicParagraph"/>
      <w:tabs>
        <w:tab w:val="left" w:pos="3104"/>
      </w:tabs>
      <w:rPr>
        <w:b/>
        <w:color w:val="00539B"/>
        <w:sz w:val="18"/>
      </w:rPr>
    </w:pPr>
    <w:r>
      <w:rPr>
        <w:b/>
        <w:color w:val="00539B"/>
        <w:sz w:val="18"/>
      </w:rPr>
      <w:tab/>
    </w:r>
  </w:p>
  <w:p w:rsidR="0081712F" w:rsidRDefault="00330ADB" w:rsidP="00826BD5">
    <w:pPr>
      <w:pStyle w:val="BasicParagraph"/>
      <w:spacing w:after="120" w:line="240" w:lineRule="auto"/>
      <w:jc w:val="center"/>
      <w:rPr>
        <w:b/>
        <w:color w:val="00539B"/>
        <w:sz w:val="18"/>
        <w:szCs w:val="18"/>
      </w:rPr>
    </w:pPr>
    <w:r>
      <w:rPr>
        <w:b/>
        <w:color w:val="00539B"/>
        <w:sz w:val="18"/>
        <w:szCs w:val="18"/>
      </w:rPr>
      <w:t>The Lake Superior Quality Innovation Network represents Michigan, Minnesota and Wisconsin</w:t>
    </w:r>
    <w:r w:rsidR="006D7C47">
      <w:rPr>
        <w:b/>
        <w:color w:val="00539B"/>
        <w:sz w:val="18"/>
        <w:szCs w:val="18"/>
      </w:rPr>
      <w:t xml:space="preserve">.   </w:t>
    </w:r>
    <w:r w:rsidR="00743B90" w:rsidRPr="005446BA">
      <w:rPr>
        <w:b/>
        <w:color w:val="00539B"/>
        <w:sz w:val="18"/>
        <w:szCs w:val="18"/>
      </w:rPr>
      <w:t xml:space="preserve">|   </w:t>
    </w:r>
    <w:r w:rsidR="00FC5042" w:rsidRPr="00F01DE1">
      <w:rPr>
        <w:b/>
        <w:color w:val="00539B"/>
        <w:sz w:val="18"/>
        <w:szCs w:val="18"/>
      </w:rPr>
      <w:t>www.lsqin.org</w:t>
    </w:r>
  </w:p>
  <w:p w:rsidR="00FC5042" w:rsidRPr="00FC5042" w:rsidRDefault="00FC5042" w:rsidP="00FC5042">
    <w:pPr>
      <w:pStyle w:val="Footer"/>
      <w:ind w:left="90" w:right="-360"/>
      <w:jc w:val="center"/>
      <w:rPr>
        <w:rFonts w:ascii="Arial" w:hAnsi="Arial" w:cs="Arial"/>
        <w:sz w:val="14"/>
        <w:szCs w:val="16"/>
      </w:rPr>
    </w:pPr>
    <w:r w:rsidRPr="00FC5042">
      <w:rPr>
        <w:rFonts w:ascii="Arial" w:hAnsi="Arial" w:cs="Arial"/>
        <w:sz w:val="14"/>
        <w:szCs w:val="16"/>
      </w:rPr>
      <w:t xml:space="preserve">This material was prepared by the Lake Superior Quality Innovation Network, under contract with the Centers for Medicare &amp; Medicaid Services (CMS), an agency of the U.S. Department of Health and Human Services. The materials do not necessarily reflect CMS policy. </w:t>
    </w:r>
    <w:r w:rsidR="0055153D">
      <w:rPr>
        <w:rFonts w:ascii="Arial" w:hAnsi="Arial" w:cs="Arial"/>
        <w:sz w:val="14"/>
        <w:szCs w:val="16"/>
      </w:rPr>
      <w:t>11SOW-MI/MN/WI-F1-15-22 101215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08" w:rsidRDefault="00A34F08" w:rsidP="00F91247">
      <w:r>
        <w:separator/>
      </w:r>
    </w:p>
  </w:footnote>
  <w:footnote w:type="continuationSeparator" w:id="0">
    <w:p w:rsidR="00A34F08" w:rsidRDefault="00A34F08" w:rsidP="00F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2F" w:rsidRDefault="0081712F">
    <w:pPr>
      <w:pStyle w:val="Header"/>
    </w:pPr>
    <w:r>
      <w:rPr>
        <w:noProof/>
        <w:color w:val="00539B"/>
        <w:sz w:val="40"/>
      </w:rPr>
      <w:drawing>
        <wp:anchor distT="0" distB="0" distL="114300" distR="114300" simplePos="0" relativeHeight="251659776" behindDoc="0" locked="0" layoutInCell="1" allowOverlap="1" wp14:anchorId="486E5AD9" wp14:editId="4CA01803">
          <wp:simplePos x="0" y="0"/>
          <wp:positionH relativeFrom="column">
            <wp:posOffset>-342900</wp:posOffset>
          </wp:positionH>
          <wp:positionV relativeFrom="paragraph">
            <wp:posOffset>-774065</wp:posOffset>
          </wp:positionV>
          <wp:extent cx="7315200" cy="1033145"/>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59A" w:rsidRDefault="0013259A">
    <w:pPr>
      <w:pStyle w:val="Header"/>
    </w:pPr>
  </w:p>
  <w:p w:rsidR="0081712F" w:rsidRPr="0081712F" w:rsidRDefault="0081712F">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2EE"/>
    <w:multiLevelType w:val="hybridMultilevel"/>
    <w:tmpl w:val="6890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C73CC"/>
    <w:multiLevelType w:val="hybridMultilevel"/>
    <w:tmpl w:val="4EC2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1261B"/>
    <w:multiLevelType w:val="hybridMultilevel"/>
    <w:tmpl w:val="212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B2A09"/>
    <w:multiLevelType w:val="hybridMultilevel"/>
    <w:tmpl w:val="D06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E2A77"/>
    <w:multiLevelType w:val="hybridMultilevel"/>
    <w:tmpl w:val="832CC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E7570"/>
    <w:multiLevelType w:val="hybridMultilevel"/>
    <w:tmpl w:val="1B5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16D16"/>
    <w:multiLevelType w:val="hybridMultilevel"/>
    <w:tmpl w:val="6D60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82E0C"/>
    <w:multiLevelType w:val="hybridMultilevel"/>
    <w:tmpl w:val="7FA8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A1DCA"/>
    <w:multiLevelType w:val="hybridMultilevel"/>
    <w:tmpl w:val="E614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A7B95"/>
    <w:multiLevelType w:val="hybridMultilevel"/>
    <w:tmpl w:val="8A600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05795"/>
    <w:multiLevelType w:val="hybridMultilevel"/>
    <w:tmpl w:val="823C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AF58DC"/>
    <w:multiLevelType w:val="hybridMultilevel"/>
    <w:tmpl w:val="940E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92E47"/>
    <w:multiLevelType w:val="hybridMultilevel"/>
    <w:tmpl w:val="10561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483B"/>
    <w:multiLevelType w:val="hybridMultilevel"/>
    <w:tmpl w:val="262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1"/>
  </w:num>
  <w:num w:numId="5">
    <w:abstractNumId w:val="16"/>
  </w:num>
  <w:num w:numId="6">
    <w:abstractNumId w:val="11"/>
  </w:num>
  <w:num w:numId="7">
    <w:abstractNumId w:val="16"/>
  </w:num>
  <w:num w:numId="8">
    <w:abstractNumId w:val="4"/>
  </w:num>
  <w:num w:numId="9">
    <w:abstractNumId w:val="2"/>
  </w:num>
  <w:num w:numId="10">
    <w:abstractNumId w:val="3"/>
  </w:num>
  <w:num w:numId="11">
    <w:abstractNumId w:val="12"/>
  </w:num>
  <w:num w:numId="12">
    <w:abstractNumId w:val="14"/>
  </w:num>
  <w:num w:numId="13">
    <w:abstractNumId w:val="10"/>
  </w:num>
  <w:num w:numId="14">
    <w:abstractNumId w:val="1"/>
  </w:num>
  <w:num w:numId="15">
    <w:abstractNumId w:val="0"/>
  </w:num>
  <w:num w:numId="16">
    <w:abstractNumId w:val="5"/>
  </w:num>
  <w:num w:numId="17">
    <w:abstractNumId w:val="7"/>
  </w:num>
  <w:num w:numId="18">
    <w:abstractNumId w:val="8"/>
  </w:num>
  <w:num w:numId="19">
    <w:abstractNumId w:val="15"/>
  </w:num>
  <w:num w:numId="20">
    <w:abstractNumId w:val="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52"/>
    <w:rsid w:val="0000079D"/>
    <w:rsid w:val="00003B01"/>
    <w:rsid w:val="00015CA1"/>
    <w:rsid w:val="00020A74"/>
    <w:rsid w:val="00036E5B"/>
    <w:rsid w:val="000441AB"/>
    <w:rsid w:val="0005103E"/>
    <w:rsid w:val="00054A46"/>
    <w:rsid w:val="00054EB6"/>
    <w:rsid w:val="0007018B"/>
    <w:rsid w:val="00074519"/>
    <w:rsid w:val="00086E4D"/>
    <w:rsid w:val="00095E49"/>
    <w:rsid w:val="0009745E"/>
    <w:rsid w:val="00097D7B"/>
    <w:rsid w:val="000A7B6C"/>
    <w:rsid w:val="000A7F65"/>
    <w:rsid w:val="000B1767"/>
    <w:rsid w:val="000B6DFA"/>
    <w:rsid w:val="000B6FDE"/>
    <w:rsid w:val="000C6E62"/>
    <w:rsid w:val="000D2F18"/>
    <w:rsid w:val="000E251E"/>
    <w:rsid w:val="000F3A2B"/>
    <w:rsid w:val="000F588B"/>
    <w:rsid w:val="000F6C2D"/>
    <w:rsid w:val="00116EEC"/>
    <w:rsid w:val="00127C1F"/>
    <w:rsid w:val="0013259A"/>
    <w:rsid w:val="001368C3"/>
    <w:rsid w:val="00137277"/>
    <w:rsid w:val="001454D8"/>
    <w:rsid w:val="00153DD8"/>
    <w:rsid w:val="00157AA1"/>
    <w:rsid w:val="001727FC"/>
    <w:rsid w:val="001731D0"/>
    <w:rsid w:val="00180297"/>
    <w:rsid w:val="00182B5E"/>
    <w:rsid w:val="001946E7"/>
    <w:rsid w:val="001A1C4F"/>
    <w:rsid w:val="001A533F"/>
    <w:rsid w:val="001A7F83"/>
    <w:rsid w:val="001B4621"/>
    <w:rsid w:val="001B59C4"/>
    <w:rsid w:val="001B6C1A"/>
    <w:rsid w:val="001B6F66"/>
    <w:rsid w:val="001C5753"/>
    <w:rsid w:val="001E0277"/>
    <w:rsid w:val="001E1706"/>
    <w:rsid w:val="001F0CBF"/>
    <w:rsid w:val="001F1C6B"/>
    <w:rsid w:val="001F77A3"/>
    <w:rsid w:val="00204CFC"/>
    <w:rsid w:val="00227EFA"/>
    <w:rsid w:val="00231631"/>
    <w:rsid w:val="002371D7"/>
    <w:rsid w:val="00241EEB"/>
    <w:rsid w:val="00244236"/>
    <w:rsid w:val="00252F6C"/>
    <w:rsid w:val="00262BD6"/>
    <w:rsid w:val="002654DA"/>
    <w:rsid w:val="00275BBA"/>
    <w:rsid w:val="00277C0B"/>
    <w:rsid w:val="0028058F"/>
    <w:rsid w:val="00286184"/>
    <w:rsid w:val="002970C1"/>
    <w:rsid w:val="002B339B"/>
    <w:rsid w:val="002B6A5D"/>
    <w:rsid w:val="002B6BD9"/>
    <w:rsid w:val="002C39B1"/>
    <w:rsid w:val="002D6F2A"/>
    <w:rsid w:val="002E0529"/>
    <w:rsid w:val="002E360A"/>
    <w:rsid w:val="002F1B4C"/>
    <w:rsid w:val="00300136"/>
    <w:rsid w:val="00300C10"/>
    <w:rsid w:val="00310D47"/>
    <w:rsid w:val="00324F19"/>
    <w:rsid w:val="00330ADB"/>
    <w:rsid w:val="0033278A"/>
    <w:rsid w:val="00334E0D"/>
    <w:rsid w:val="00335389"/>
    <w:rsid w:val="003562B5"/>
    <w:rsid w:val="0035682A"/>
    <w:rsid w:val="0036073D"/>
    <w:rsid w:val="00376644"/>
    <w:rsid w:val="00377BE8"/>
    <w:rsid w:val="003834DD"/>
    <w:rsid w:val="00390CD1"/>
    <w:rsid w:val="003922B7"/>
    <w:rsid w:val="003A346C"/>
    <w:rsid w:val="003B2FC7"/>
    <w:rsid w:val="003B67D0"/>
    <w:rsid w:val="003C1792"/>
    <w:rsid w:val="003C1A9C"/>
    <w:rsid w:val="003E17C4"/>
    <w:rsid w:val="003E48A5"/>
    <w:rsid w:val="004036F8"/>
    <w:rsid w:val="004038BF"/>
    <w:rsid w:val="004150BF"/>
    <w:rsid w:val="004178B9"/>
    <w:rsid w:val="00421261"/>
    <w:rsid w:val="00425314"/>
    <w:rsid w:val="00452BC5"/>
    <w:rsid w:val="00465CC2"/>
    <w:rsid w:val="00494686"/>
    <w:rsid w:val="004B383C"/>
    <w:rsid w:val="004B4D5C"/>
    <w:rsid w:val="004C0655"/>
    <w:rsid w:val="004C139F"/>
    <w:rsid w:val="004C6066"/>
    <w:rsid w:val="004D13C8"/>
    <w:rsid w:val="004D27DA"/>
    <w:rsid w:val="004D2DFA"/>
    <w:rsid w:val="004D507D"/>
    <w:rsid w:val="004D719E"/>
    <w:rsid w:val="004D761F"/>
    <w:rsid w:val="004E2505"/>
    <w:rsid w:val="004F64DB"/>
    <w:rsid w:val="004F7379"/>
    <w:rsid w:val="005014E0"/>
    <w:rsid w:val="00515091"/>
    <w:rsid w:val="00532A2B"/>
    <w:rsid w:val="00537A05"/>
    <w:rsid w:val="005409D0"/>
    <w:rsid w:val="005446BA"/>
    <w:rsid w:val="0055153D"/>
    <w:rsid w:val="005526A4"/>
    <w:rsid w:val="00561FBE"/>
    <w:rsid w:val="00561FC8"/>
    <w:rsid w:val="00564F44"/>
    <w:rsid w:val="005702CD"/>
    <w:rsid w:val="00572F76"/>
    <w:rsid w:val="00586C0B"/>
    <w:rsid w:val="0059030F"/>
    <w:rsid w:val="005A2624"/>
    <w:rsid w:val="005A33CD"/>
    <w:rsid w:val="005A506F"/>
    <w:rsid w:val="005B26F8"/>
    <w:rsid w:val="005F3F1E"/>
    <w:rsid w:val="0060007A"/>
    <w:rsid w:val="00603D16"/>
    <w:rsid w:val="00611F12"/>
    <w:rsid w:val="006134B8"/>
    <w:rsid w:val="00613D6A"/>
    <w:rsid w:val="00614832"/>
    <w:rsid w:val="00615071"/>
    <w:rsid w:val="0063742A"/>
    <w:rsid w:val="0064136F"/>
    <w:rsid w:val="006510BA"/>
    <w:rsid w:val="00651E6E"/>
    <w:rsid w:val="006558C1"/>
    <w:rsid w:val="00661FE8"/>
    <w:rsid w:val="00662F99"/>
    <w:rsid w:val="00676361"/>
    <w:rsid w:val="006770D4"/>
    <w:rsid w:val="0067781B"/>
    <w:rsid w:val="00682248"/>
    <w:rsid w:val="0068454C"/>
    <w:rsid w:val="00687555"/>
    <w:rsid w:val="006B466A"/>
    <w:rsid w:val="006C21E7"/>
    <w:rsid w:val="006C6659"/>
    <w:rsid w:val="006D46EC"/>
    <w:rsid w:val="006D7C47"/>
    <w:rsid w:val="006E215D"/>
    <w:rsid w:val="006E2A8D"/>
    <w:rsid w:val="00703864"/>
    <w:rsid w:val="00706766"/>
    <w:rsid w:val="00710BE1"/>
    <w:rsid w:val="00713E82"/>
    <w:rsid w:val="007176A0"/>
    <w:rsid w:val="00720368"/>
    <w:rsid w:val="00725A76"/>
    <w:rsid w:val="00743B90"/>
    <w:rsid w:val="00744DD7"/>
    <w:rsid w:val="007505D1"/>
    <w:rsid w:val="00755F4A"/>
    <w:rsid w:val="00757A21"/>
    <w:rsid w:val="0077264A"/>
    <w:rsid w:val="00781404"/>
    <w:rsid w:val="00797E50"/>
    <w:rsid w:val="007A12CE"/>
    <w:rsid w:val="007B01F2"/>
    <w:rsid w:val="007B5E3B"/>
    <w:rsid w:val="007C0D9A"/>
    <w:rsid w:val="007E0BF4"/>
    <w:rsid w:val="007E51EA"/>
    <w:rsid w:val="007F0DDC"/>
    <w:rsid w:val="007F1CF0"/>
    <w:rsid w:val="00801F35"/>
    <w:rsid w:val="00806279"/>
    <w:rsid w:val="00811FE5"/>
    <w:rsid w:val="0081712F"/>
    <w:rsid w:val="00825510"/>
    <w:rsid w:val="00826BD5"/>
    <w:rsid w:val="008413C7"/>
    <w:rsid w:val="008617F3"/>
    <w:rsid w:val="00862C86"/>
    <w:rsid w:val="00865B7C"/>
    <w:rsid w:val="00872D12"/>
    <w:rsid w:val="00875F8C"/>
    <w:rsid w:val="008807DA"/>
    <w:rsid w:val="00882633"/>
    <w:rsid w:val="00885CF9"/>
    <w:rsid w:val="00886305"/>
    <w:rsid w:val="008901EF"/>
    <w:rsid w:val="00892BFA"/>
    <w:rsid w:val="008950C4"/>
    <w:rsid w:val="008A1C3E"/>
    <w:rsid w:val="008A1C8A"/>
    <w:rsid w:val="008A3DC0"/>
    <w:rsid w:val="008B0E0D"/>
    <w:rsid w:val="008C17AB"/>
    <w:rsid w:val="008D22C1"/>
    <w:rsid w:val="008D55B3"/>
    <w:rsid w:val="008E2406"/>
    <w:rsid w:val="00907437"/>
    <w:rsid w:val="00910620"/>
    <w:rsid w:val="00914BAA"/>
    <w:rsid w:val="009275BF"/>
    <w:rsid w:val="009347B3"/>
    <w:rsid w:val="00966EE5"/>
    <w:rsid w:val="009809D9"/>
    <w:rsid w:val="00981E72"/>
    <w:rsid w:val="009859F7"/>
    <w:rsid w:val="00986BC8"/>
    <w:rsid w:val="009978D7"/>
    <w:rsid w:val="009A520C"/>
    <w:rsid w:val="009B08B0"/>
    <w:rsid w:val="009B459F"/>
    <w:rsid w:val="009B4684"/>
    <w:rsid w:val="009C2DAD"/>
    <w:rsid w:val="009C3A1B"/>
    <w:rsid w:val="009C6006"/>
    <w:rsid w:val="009D1CC1"/>
    <w:rsid w:val="009D3159"/>
    <w:rsid w:val="009E0AFA"/>
    <w:rsid w:val="009E308B"/>
    <w:rsid w:val="009F20C4"/>
    <w:rsid w:val="009F3200"/>
    <w:rsid w:val="00A03350"/>
    <w:rsid w:val="00A16F2A"/>
    <w:rsid w:val="00A223E0"/>
    <w:rsid w:val="00A30E64"/>
    <w:rsid w:val="00A34F08"/>
    <w:rsid w:val="00A36DC3"/>
    <w:rsid w:val="00A53D3A"/>
    <w:rsid w:val="00A57153"/>
    <w:rsid w:val="00A5782E"/>
    <w:rsid w:val="00A6266E"/>
    <w:rsid w:val="00A6711C"/>
    <w:rsid w:val="00A7227A"/>
    <w:rsid w:val="00A77676"/>
    <w:rsid w:val="00A92664"/>
    <w:rsid w:val="00AC4387"/>
    <w:rsid w:val="00AC726C"/>
    <w:rsid w:val="00AD46C3"/>
    <w:rsid w:val="00AE36C6"/>
    <w:rsid w:val="00AF6A96"/>
    <w:rsid w:val="00B04217"/>
    <w:rsid w:val="00B065EC"/>
    <w:rsid w:val="00B10028"/>
    <w:rsid w:val="00B13C3D"/>
    <w:rsid w:val="00B257E0"/>
    <w:rsid w:val="00B26787"/>
    <w:rsid w:val="00B32E87"/>
    <w:rsid w:val="00B355FC"/>
    <w:rsid w:val="00B45493"/>
    <w:rsid w:val="00B47F7B"/>
    <w:rsid w:val="00B50F22"/>
    <w:rsid w:val="00B5308C"/>
    <w:rsid w:val="00B63BC7"/>
    <w:rsid w:val="00B666AD"/>
    <w:rsid w:val="00B74102"/>
    <w:rsid w:val="00B81ED6"/>
    <w:rsid w:val="00B854BC"/>
    <w:rsid w:val="00BA2254"/>
    <w:rsid w:val="00BB216C"/>
    <w:rsid w:val="00BB3492"/>
    <w:rsid w:val="00BB5D62"/>
    <w:rsid w:val="00BC0830"/>
    <w:rsid w:val="00BC4B3C"/>
    <w:rsid w:val="00BD0000"/>
    <w:rsid w:val="00BD1905"/>
    <w:rsid w:val="00BD3D9E"/>
    <w:rsid w:val="00BD623F"/>
    <w:rsid w:val="00BE0C73"/>
    <w:rsid w:val="00BF0E1A"/>
    <w:rsid w:val="00BF79A0"/>
    <w:rsid w:val="00C03AD1"/>
    <w:rsid w:val="00C07559"/>
    <w:rsid w:val="00C144D1"/>
    <w:rsid w:val="00C15DF1"/>
    <w:rsid w:val="00C23FC1"/>
    <w:rsid w:val="00C27B8D"/>
    <w:rsid w:val="00C35517"/>
    <w:rsid w:val="00C3598F"/>
    <w:rsid w:val="00C428EF"/>
    <w:rsid w:val="00C43693"/>
    <w:rsid w:val="00C4700B"/>
    <w:rsid w:val="00C606CB"/>
    <w:rsid w:val="00C65AA0"/>
    <w:rsid w:val="00C65EA8"/>
    <w:rsid w:val="00C75437"/>
    <w:rsid w:val="00C777EA"/>
    <w:rsid w:val="00C77A28"/>
    <w:rsid w:val="00C93274"/>
    <w:rsid w:val="00C97DDD"/>
    <w:rsid w:val="00CB0F9A"/>
    <w:rsid w:val="00CB54FB"/>
    <w:rsid w:val="00CC300B"/>
    <w:rsid w:val="00CC3F3D"/>
    <w:rsid w:val="00CC739E"/>
    <w:rsid w:val="00CD0762"/>
    <w:rsid w:val="00CD1F77"/>
    <w:rsid w:val="00CD6D96"/>
    <w:rsid w:val="00CE0879"/>
    <w:rsid w:val="00CE3255"/>
    <w:rsid w:val="00CE76E3"/>
    <w:rsid w:val="00CF0E8D"/>
    <w:rsid w:val="00CF5C30"/>
    <w:rsid w:val="00D10215"/>
    <w:rsid w:val="00D31358"/>
    <w:rsid w:val="00D51323"/>
    <w:rsid w:val="00D54317"/>
    <w:rsid w:val="00D615A3"/>
    <w:rsid w:val="00D740E5"/>
    <w:rsid w:val="00D74CF9"/>
    <w:rsid w:val="00D819E5"/>
    <w:rsid w:val="00D84B3F"/>
    <w:rsid w:val="00D90DCD"/>
    <w:rsid w:val="00D95F7C"/>
    <w:rsid w:val="00DA2206"/>
    <w:rsid w:val="00DA7860"/>
    <w:rsid w:val="00DB078D"/>
    <w:rsid w:val="00DB2776"/>
    <w:rsid w:val="00DD1B02"/>
    <w:rsid w:val="00DE7F30"/>
    <w:rsid w:val="00DF0253"/>
    <w:rsid w:val="00DF348C"/>
    <w:rsid w:val="00E051C9"/>
    <w:rsid w:val="00E10A76"/>
    <w:rsid w:val="00E1373C"/>
    <w:rsid w:val="00E323AE"/>
    <w:rsid w:val="00E33D8C"/>
    <w:rsid w:val="00E362A1"/>
    <w:rsid w:val="00E41659"/>
    <w:rsid w:val="00E416AF"/>
    <w:rsid w:val="00E44F74"/>
    <w:rsid w:val="00E4503F"/>
    <w:rsid w:val="00E46C74"/>
    <w:rsid w:val="00E47B28"/>
    <w:rsid w:val="00E50C16"/>
    <w:rsid w:val="00E57BDD"/>
    <w:rsid w:val="00E617E1"/>
    <w:rsid w:val="00E6554B"/>
    <w:rsid w:val="00E66736"/>
    <w:rsid w:val="00E72B49"/>
    <w:rsid w:val="00E77A7A"/>
    <w:rsid w:val="00E81C52"/>
    <w:rsid w:val="00E9462A"/>
    <w:rsid w:val="00EA1CE0"/>
    <w:rsid w:val="00EA3FFB"/>
    <w:rsid w:val="00EA7260"/>
    <w:rsid w:val="00EA795A"/>
    <w:rsid w:val="00ED3184"/>
    <w:rsid w:val="00ED34AE"/>
    <w:rsid w:val="00ED65C5"/>
    <w:rsid w:val="00EE3BBA"/>
    <w:rsid w:val="00EE3D6E"/>
    <w:rsid w:val="00EE52FE"/>
    <w:rsid w:val="00F01DE1"/>
    <w:rsid w:val="00F020F4"/>
    <w:rsid w:val="00F02B07"/>
    <w:rsid w:val="00F0588E"/>
    <w:rsid w:val="00F30AF2"/>
    <w:rsid w:val="00F3789F"/>
    <w:rsid w:val="00F42D4C"/>
    <w:rsid w:val="00F433B8"/>
    <w:rsid w:val="00F54CC8"/>
    <w:rsid w:val="00F67708"/>
    <w:rsid w:val="00F86E66"/>
    <w:rsid w:val="00F870B7"/>
    <w:rsid w:val="00F91247"/>
    <w:rsid w:val="00FA4E6E"/>
    <w:rsid w:val="00FB0D81"/>
    <w:rsid w:val="00FB782F"/>
    <w:rsid w:val="00FC1062"/>
    <w:rsid w:val="00FC5042"/>
    <w:rsid w:val="00FD3CD7"/>
    <w:rsid w:val="00FD66A4"/>
    <w:rsid w:val="00FE1143"/>
    <w:rsid w:val="00FE3C51"/>
    <w:rsid w:val="00FF1FCB"/>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5" w:qFormat="1"/>
    <w:lsdException w:name="heading 4" w:uiPriority="5"/>
    <w:lsdException w:name="heading 5"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4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5" w:qFormat="1"/>
    <w:lsdException w:name="heading 4" w:uiPriority="5"/>
    <w:lsdException w:name="heading 5" w:uiPriority="9"/>
    <w:lsdException w:name="heading 6" w:uiPriority="9"/>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CC739E"/>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CC739E"/>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40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8289">
      <w:bodyDiv w:val="1"/>
      <w:marLeft w:val="0"/>
      <w:marRight w:val="0"/>
      <w:marTop w:val="0"/>
      <w:marBottom w:val="0"/>
      <w:divBdr>
        <w:top w:val="none" w:sz="0" w:space="0" w:color="auto"/>
        <w:left w:val="none" w:sz="0" w:space="0" w:color="auto"/>
        <w:bottom w:val="none" w:sz="0" w:space="0" w:color="auto"/>
        <w:right w:val="none" w:sz="0" w:space="0" w:color="auto"/>
      </w:divBdr>
    </w:div>
    <w:div w:id="18687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qualitynet.webex.com/qualitynet/onstage/g.php?MTID=e65137c017483eb17634bac8e68a49c76" TargetMode="External"/><Relationship Id="rId18" Type="http://schemas.openxmlformats.org/officeDocument/2006/relationships/hyperlink" Target="mailto:continuing-ed@metasta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me@metastar.com" TargetMode="External"/><Relationship Id="rId2" Type="http://schemas.openxmlformats.org/officeDocument/2006/relationships/customXml" Target="../customXml/item2.xml"/><Relationship Id="rId16" Type="http://schemas.openxmlformats.org/officeDocument/2006/relationships/hyperlink" Target="mailto:continuing-ed@metasta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urveygizmo.com/s3/2357132/11-11-15-Immuniz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nitnuing-ed@metastar.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ssenger@webex.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olm\Desktop\LSQIN%20Template%20Layout%201-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ate xmlns="e2c2d969-04b7-4b0f-a124-70685b69bfa3">All</Stat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10EF027E51BD4B917F5B0E3C1893EC" ma:contentTypeVersion="3" ma:contentTypeDescription="Create a new document." ma:contentTypeScope="" ma:versionID="f8076be12107112e8c6b8e96af856fa2">
  <xsd:schema xmlns:xsd="http://www.w3.org/2001/XMLSchema" xmlns:xs="http://www.w3.org/2001/XMLSchema" xmlns:p="http://schemas.microsoft.com/office/2006/metadata/properties" xmlns:ns2="e2c2d969-04b7-4b0f-a124-70685b69bfa3" targetNamespace="http://schemas.microsoft.com/office/2006/metadata/properties" ma:root="true" ma:fieldsID="e21d7b4b28d8d5913737dc4750e1a37e" ns2:_="">
    <xsd:import namespace="e2c2d969-04b7-4b0f-a124-70685b69bfa3"/>
    <xsd:element name="properties">
      <xsd:complexType>
        <xsd:sequence>
          <xsd:element name="documentManagement">
            <xsd:complexType>
              <xsd:all>
                <xsd:element ref="ns2:St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8032-758C-443C-81A6-7D8F80557685}">
  <ds:schemaRefs>
    <ds:schemaRef ds:uri="http://schemas.microsoft.com/office/2006/metadata/properties"/>
    <ds:schemaRef ds:uri="e2c2d969-04b7-4b0f-a124-70685b69bfa3"/>
  </ds:schemaRefs>
</ds:datastoreItem>
</file>

<file path=customXml/itemProps2.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3.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4.xml><?xml version="1.0" encoding="utf-8"?>
<ds:datastoreItem xmlns:ds="http://schemas.openxmlformats.org/officeDocument/2006/customXml" ds:itemID="{91E11816-F9C0-4721-83BC-F741699E7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95842-338A-4ADD-B36D-584A4B07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 Template Layout 1-Pager</Template>
  <TotalTime>75</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LSQIN Template Layout</vt:lpstr>
    </vt:vector>
  </TitlesOfParts>
  <Company>Microsoft</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 Template Layout</dc:title>
  <dc:creator>Heather Holm</dc:creator>
  <cp:lastModifiedBy>Heather Holm</cp:lastModifiedBy>
  <cp:revision>94</cp:revision>
  <cp:lastPrinted>2014-09-22T20:34:00Z</cp:lastPrinted>
  <dcterms:created xsi:type="dcterms:W3CDTF">2015-09-30T15:25:00Z</dcterms:created>
  <dcterms:modified xsi:type="dcterms:W3CDTF">2015-10-12T13:25:00Z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0x010100FC10EF027E51BD4B917F5B0E3C1893EC</vt:lpwstr>
  </property>
</Properties>
</file>